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8"/>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411D5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36D190EA">
            <w:pPr>
              <w:pStyle w:val="18"/>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黑体" w:hAnsi="黑体" w:eastAsia="黑体"/>
                <w:sz w:val="21"/>
                <w:szCs w:val="21"/>
              </w:rPr>
              <w:t xml:space="preserve">ICS  </w:t>
            </w:r>
          </w:p>
        </w:tc>
        <w:tc>
          <w:tcPr>
            <w:tcW w:w="8855" w:type="dxa"/>
          </w:tcPr>
          <w:p w14:paraId="2833401F">
            <w:pPr>
              <w:pStyle w:val="18"/>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t>67.020</w:t>
            </w:r>
          </w:p>
        </w:tc>
      </w:tr>
      <w:tr w14:paraId="660AE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57ED33D7">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t xml:space="preserve">CCS  </w:t>
            </w:r>
          </w:p>
        </w:tc>
        <w:tc>
          <w:tcPr>
            <w:tcW w:w="8855" w:type="dxa"/>
          </w:tcPr>
          <w:p w14:paraId="14020220">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t>X 09</w:t>
            </w:r>
          </w:p>
        </w:tc>
      </w:tr>
    </w:tbl>
    <w:tbl>
      <w:tblPr>
        <w:tblStyle w:val="28"/>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221" w:type="dxa"/>
        </w:tblCellMar>
      </w:tblPr>
      <w:tblGrid>
        <w:gridCol w:w="6407"/>
      </w:tblGrid>
      <w:tr w14:paraId="53B7370C">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221" w:type="dxa"/>
          </w:tblCellMar>
        </w:tblPrEx>
        <w:tc>
          <w:tcPr>
            <w:tcW w:w="6407" w:type="dxa"/>
          </w:tcPr>
          <w:p w14:paraId="536BC2D7">
            <w:pPr>
              <w:pStyle w:val="50"/>
              <w:framePr w:w="0" w:hRule="auto" w:wrap="auto" w:vAnchor="margin" w:hAnchor="text" w:xAlign="left" w:yAlign="inline"/>
              <w:rPr>
                <w:rFonts w:hint="default" w:ascii="宋体" w:hAnsi="宋体"/>
                <w:sz w:val="28"/>
                <w:szCs w:val="28"/>
                <w:lang w:val="en-US"/>
              </w:rPr>
            </w:pPr>
            <w:bookmarkStart w:id="0" w:name="_Hlk26473981"/>
            <w:r>
              <w:rPr>
                <w:rFonts w:hint="eastAsia"/>
                <w:lang w:val="en-US" w:eastAsia="zh-CN"/>
              </w:rPr>
              <w:t>MR</w:t>
            </w:r>
          </w:p>
        </w:tc>
      </w:tr>
    </w:tbl>
    <w:p w14:paraId="219FED52">
      <w:pPr>
        <w:pStyle w:val="51"/>
        <w:framePr w:w="9639" w:h="624" w:hRule="exact" w:hSpace="181" w:vSpace="181" w:hAnchor="page" w:x="1305" w:y="2269"/>
        <w:rPr>
          <w:rFonts w:ascii="黑体" w:hAnsi="黑体" w:eastAsia="黑体"/>
          <w:b w:val="0"/>
          <w:bCs w:val="0"/>
          <w:w w:val="100"/>
          <w:sz w:val="48"/>
          <w:szCs w:val="48"/>
        </w:rPr>
      </w:pPr>
      <w:r>
        <w:rPr>
          <w:rFonts w:hint="eastAsia" w:ascii="黑体" w:eastAsia="黑体"/>
          <w:b w:val="0"/>
          <w:w w:val="100"/>
          <w:sz w:val="48"/>
        </w:rPr>
        <w:t>中华人民共和国市场监管行业标准</w:t>
      </w:r>
    </w:p>
    <w:bookmarkEnd w:id="0"/>
    <w:p w14:paraId="1AAA6876">
      <w:pPr>
        <w:pStyle w:val="196"/>
        <w:rPr>
          <w:rFonts w:hint="default" w:eastAsia="黑体"/>
          <w:lang w:val="en-US" w:eastAsia="zh-CN"/>
        </w:rPr>
      </w:pPr>
      <w:r>
        <w:rPr>
          <w:rFonts w:hint="eastAsia"/>
          <w:lang w:val="en-US" w:eastAsia="zh-CN"/>
        </w:rPr>
        <w:t>MR</w:t>
      </w:r>
      <w:r>
        <w:fldChar w:fldCharType="begin">
          <w:ffData>
            <w:name w:val="文字1"/>
            <w:enabled/>
            <w:calcOnExit w:val="0"/>
            <w:textInput>
              <w:default w:val="XX/T"/>
            </w:textInput>
          </w:ffData>
        </w:fldChar>
      </w:r>
      <w:bookmarkStart w:id="1" w:name="文字1"/>
      <w:r>
        <w:rPr>
          <w:lang w:val="fr-FR"/>
        </w:rPr>
        <w:instrText xml:space="preserve"> FORMTEXT </w:instrText>
      </w:r>
      <w:r>
        <w:fldChar w:fldCharType="separate"/>
      </w:r>
      <w:r>
        <w:rPr>
          <w:lang w:val="fr-FR"/>
        </w:rPr>
        <w:t>/T</w:t>
      </w:r>
      <w:r>
        <w:fldChar w:fldCharType="end"/>
      </w:r>
      <w:bookmarkEnd w:id="1"/>
      <w:r>
        <w:rPr>
          <w:lang w:val="fr-FR"/>
        </w:rPr>
        <w:t xml:space="preserve"> </w:t>
      </w:r>
      <w:r>
        <w:rPr>
          <w:rFonts w:hint="eastAsia"/>
          <w:lang w:val="en-US" w:eastAsia="zh-CN"/>
        </w:rPr>
        <w:t>X</w:t>
      </w:r>
      <w:r>
        <w:t>XXXX</w:t>
      </w:r>
      <w:r>
        <w:rPr>
          <w:rFonts w:hint="eastAsia" w:hAnsi="黑体"/>
          <w:lang w:val="fr-FR"/>
        </w:rPr>
        <w:t>—</w:t>
      </w:r>
      <w:r>
        <w:rPr>
          <w:rFonts w:hint="eastAsia"/>
          <w:lang w:val="en-US" w:eastAsia="zh-CN"/>
        </w:rPr>
        <w:t>XXXX</w:t>
      </w:r>
    </w:p>
    <w:p w14:paraId="2BD6247B">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617F1047">
      <w:pPr>
        <w:pStyle w:val="51"/>
        <w:framePr w:w="9639" w:h="6976" w:hRule="exact" w:hSpace="0" w:vSpace="0" w:hAnchor="page" w:y="6408"/>
        <w:jc w:val="center"/>
        <w:rPr>
          <w:rFonts w:ascii="黑体" w:hAnsi="黑体" w:eastAsia="黑体"/>
          <w:b w:val="0"/>
          <w:bCs w:val="0"/>
          <w:w w:val="100"/>
        </w:rPr>
      </w:pPr>
    </w:p>
    <w:p w14:paraId="096FB95C">
      <w:pPr>
        <w:pStyle w:val="198"/>
        <w:framePr w:x="1528" w:y="6300"/>
      </w:pPr>
      <w:r>
        <w:fldChar w:fldCharType="begin">
          <w:ffData>
            <w:name w:val="CSTD_NAME"/>
            <w:enabled/>
            <w:calcOnExit w:val="0"/>
            <w:textInput>
              <w:default w:val="外卖送餐食品安全管理规范"/>
            </w:textInput>
          </w:ffData>
        </w:fldChar>
      </w:r>
      <w:bookmarkStart w:id="2" w:name="CSTD_NAME"/>
      <w:r>
        <w:instrText xml:space="preserve"> FORMTEXT </w:instrText>
      </w:r>
      <w:r>
        <w:fldChar w:fldCharType="separate"/>
      </w:r>
      <w:r>
        <w:t>外卖送餐食品安全管理规范</w:t>
      </w:r>
      <w:r>
        <w:fldChar w:fldCharType="end"/>
      </w:r>
      <w:bookmarkEnd w:id="2"/>
    </w:p>
    <w:p w14:paraId="6A2CEFF6">
      <w:pPr>
        <w:framePr w:w="9639" w:h="6974" w:hRule="exact" w:wrap="around" w:vAnchor="page" w:hAnchor="page" w:x="1583" w:y="6545" w:anchorLock="1"/>
        <w:ind w:left="-1418"/>
        <w:rPr>
          <w:rFonts w:hint="eastAsia" w:eastAsia="宋体"/>
          <w:lang w:val="en-US" w:eastAsia="zh-CN"/>
        </w:rPr>
      </w:pPr>
      <w:r>
        <w:rPr>
          <w:rFonts w:hint="eastAsia"/>
          <w:lang w:val="en-US" w:eastAsia="zh-CN"/>
        </w:rPr>
        <w:t xml:space="preserve"> </w:t>
      </w:r>
    </w:p>
    <w:p w14:paraId="3EA52B99">
      <w:pPr>
        <w:pStyle w:val="126"/>
        <w:framePr w:w="9639" w:h="6974" w:hRule="exact" w:wrap="around" w:vAnchor="page" w:hAnchor="page" w:x="1583" w:y="6545" w:anchorLock="1"/>
        <w:textAlignment w:val="bottom"/>
        <w:rPr>
          <w:rFonts w:ascii="黑体" w:hAnsi="黑体" w:eastAsia="黑体"/>
          <w:szCs w:val="28"/>
        </w:rPr>
      </w:pPr>
    </w:p>
    <w:p w14:paraId="73230EA5">
      <w:pPr>
        <w:pStyle w:val="126"/>
        <w:framePr w:w="9639" w:h="6974" w:hRule="exact" w:wrap="around" w:vAnchor="page" w:hAnchor="page" w:x="1583" w:y="6545" w:anchorLock="1"/>
        <w:textAlignment w:val="bottom"/>
        <w:rPr>
          <w:rFonts w:ascii="黑体" w:hAnsi="黑体" w:eastAsia="黑体"/>
          <w:szCs w:val="28"/>
        </w:rPr>
      </w:pPr>
      <w:r>
        <w:rPr>
          <w:rFonts w:ascii="黑体" w:hAnsi="黑体" w:eastAsia="黑体"/>
          <w:szCs w:val="28"/>
        </w:rPr>
        <w:fldChar w:fldCharType="begin">
          <w:ffData>
            <w:name w:val="ESTD_NAME"/>
            <w:enabled/>
            <w:calcOnExit w:val="0"/>
            <w:textInput>
              <w:default w:val="Specifications for the management of take-out delivery food safety"/>
              <w:format w:val="第一个字母大写"/>
            </w:textInput>
          </w:ffData>
        </w:fldChar>
      </w:r>
      <w:bookmarkStart w:id="3" w:name="ESTD_NAME"/>
      <w:r>
        <w:rPr>
          <w:rFonts w:ascii="黑体" w:hAnsi="黑体" w:eastAsia="黑体"/>
          <w:szCs w:val="28"/>
        </w:rPr>
        <w:instrText xml:space="preserve"> FORMTEXT </w:instrText>
      </w:r>
      <w:r>
        <w:rPr>
          <w:rFonts w:ascii="黑体" w:hAnsi="黑体" w:eastAsia="黑体"/>
          <w:szCs w:val="28"/>
        </w:rPr>
        <w:fldChar w:fldCharType="separate"/>
      </w:r>
      <w:r>
        <w:rPr>
          <w:rFonts w:ascii="黑体" w:hAnsi="黑体" w:eastAsia="黑体"/>
          <w:szCs w:val="28"/>
        </w:rPr>
        <w:t>Specifications for the management of take-out delivery food safety</w:t>
      </w:r>
      <w:r>
        <w:rPr>
          <w:rFonts w:ascii="黑体" w:hAnsi="黑体" w:eastAsia="黑体"/>
          <w:szCs w:val="28"/>
        </w:rPr>
        <w:fldChar w:fldCharType="end"/>
      </w:r>
      <w:bookmarkEnd w:id="3"/>
    </w:p>
    <w:p w14:paraId="48E3182C">
      <w:pPr>
        <w:framePr w:w="9639" w:h="6974" w:hRule="exact" w:wrap="around" w:vAnchor="page" w:hAnchor="page" w:x="1583" w:y="6545" w:anchorLock="1"/>
        <w:spacing w:line="760" w:lineRule="exact"/>
        <w:ind w:left="-1418"/>
        <w:rPr>
          <w:rFonts w:ascii="宋体" w:hAnsi="宋体"/>
        </w:rPr>
      </w:pPr>
    </w:p>
    <w:p w14:paraId="6D449947">
      <w:pPr>
        <w:pStyle w:val="126"/>
        <w:framePr w:w="9639" w:h="6974" w:hRule="exact" w:wrap="around" w:vAnchor="page" w:hAnchor="page" w:x="1583" w:y="6545" w:anchorLock="1"/>
        <w:spacing w:before="180" w:line="240" w:lineRule="atLeast"/>
        <w:textAlignment w:val="bottom"/>
        <w:rPr>
          <w:sz w:val="21"/>
          <w:szCs w:val="28"/>
        </w:rPr>
      </w:pPr>
      <w:r>
        <w:rPr>
          <w:rFonts w:hint="eastAsia"/>
          <w:sz w:val="21"/>
          <w:szCs w:val="28"/>
        </w:rPr>
        <w:t>（</w:t>
      </w:r>
      <w:r>
        <w:rPr>
          <w:rFonts w:hint="eastAsia"/>
          <w:sz w:val="21"/>
          <w:szCs w:val="28"/>
          <w:lang w:eastAsia="zh-CN"/>
        </w:rPr>
        <w:t>征求意见稿</w:t>
      </w:r>
      <w:r>
        <w:rPr>
          <w:rFonts w:hint="eastAsia"/>
          <w:sz w:val="21"/>
          <w:szCs w:val="28"/>
        </w:rPr>
        <w:t>）</w:t>
      </w:r>
    </w:p>
    <w:p w14:paraId="615D3448">
      <w:pPr>
        <w:pStyle w:val="126"/>
        <w:framePr w:w="9639" w:h="6974" w:hRule="exact" w:wrap="around" w:vAnchor="page" w:hAnchor="page" w:x="1583" w:y="6545" w:anchorLock="1"/>
        <w:spacing w:before="180" w:line="240" w:lineRule="atLeast"/>
        <w:textAlignment w:val="bottom"/>
        <w:rPr>
          <w:sz w:val="21"/>
          <w:szCs w:val="28"/>
        </w:rPr>
      </w:pPr>
    </w:p>
    <w:p w14:paraId="301779A8">
      <w:pPr>
        <w:pStyle w:val="194"/>
        <w:framePr w:y="14176"/>
      </w:pPr>
      <w:r>
        <w:rPr>
          <w:rFonts w:ascii="黑体"/>
        </w:rPr>
        <w:t>202</w:t>
      </w:r>
      <w:r>
        <w:rPr>
          <w:rFonts w:hint="eastAsia" w:ascii="黑体"/>
          <w:lang w:val="en-US" w:eastAsia="zh-CN"/>
        </w:rPr>
        <w:t>X</w:t>
      </w:r>
      <w:r>
        <w:t xml:space="preserve"> </w:t>
      </w:r>
      <w:r>
        <w:rPr>
          <w:rFonts w:ascii="黑体"/>
        </w:rPr>
        <w:t>-</w:t>
      </w:r>
      <w:r>
        <w:t xml:space="preserve"> </w:t>
      </w:r>
      <w:r>
        <w:rPr>
          <w:rFonts w:ascii="黑体"/>
        </w:rPr>
        <w:t>XX</w:t>
      </w:r>
      <w:r>
        <w:t xml:space="preserve"> </w:t>
      </w:r>
      <w:r>
        <w:rPr>
          <w:rFonts w:ascii="黑体"/>
        </w:rPr>
        <w:t>-</w:t>
      </w:r>
      <w:r>
        <w:t xml:space="preserve"> </w:t>
      </w:r>
      <w:r>
        <w:rPr>
          <w:rFonts w:ascii="黑体"/>
        </w:rPr>
        <w:t>XX</w:t>
      </w:r>
      <w:r>
        <w:rPr>
          <w:rFonts w:hint="eastAsia"/>
        </w:rPr>
        <w:t>发布</w:t>
      </w:r>
    </w:p>
    <w:p w14:paraId="3A25AADB">
      <w:pPr>
        <w:pStyle w:val="195"/>
        <w:framePr w:y="14176"/>
      </w:pPr>
      <w:r>
        <w:rPr>
          <w:rFonts w:ascii="黑体"/>
        </w:rPr>
        <w:t>202</w:t>
      </w:r>
      <w:r>
        <w:rPr>
          <w:rFonts w:hint="eastAsia" w:ascii="黑体"/>
          <w:lang w:val="en-US" w:eastAsia="zh-CN"/>
        </w:rPr>
        <w:t>X</w:t>
      </w:r>
      <w:r>
        <w:t xml:space="preserve"> </w:t>
      </w:r>
      <w:r>
        <w:rPr>
          <w:rFonts w:ascii="黑体"/>
        </w:rPr>
        <w:t>-</w:t>
      </w:r>
      <w:r>
        <w:t xml:space="preserve"> </w:t>
      </w:r>
      <w:r>
        <w:rPr>
          <w:rFonts w:ascii="黑体"/>
        </w:rPr>
        <w:t>XX</w:t>
      </w:r>
      <w:r>
        <w:t xml:space="preserve"> </w:t>
      </w:r>
      <w:r>
        <w:rPr>
          <w:rFonts w:ascii="黑体"/>
        </w:rPr>
        <w:t>-</w:t>
      </w:r>
      <w:r>
        <w:t xml:space="preserve"> </w:t>
      </w:r>
      <w:r>
        <w:rPr>
          <w:rFonts w:ascii="黑体"/>
        </w:rPr>
        <w:t>XX</w:t>
      </w:r>
      <w:r>
        <w:rPr>
          <w:rFonts w:hint="eastAsia"/>
        </w:rPr>
        <w:t>实施</w:t>
      </w:r>
    </w:p>
    <w:p w14:paraId="49A364A3">
      <w:pPr>
        <w:pStyle w:val="152"/>
        <w:framePr w:h="584" w:hRule="exact" w:hSpace="181" w:vSpace="181" w:y="15027"/>
        <w:rPr>
          <w:rFonts w:hAnsi="黑体"/>
        </w:rPr>
      </w:pPr>
      <w:bookmarkStart w:id="4" w:name="fm"/>
      <w:r>
        <w:rPr>
          <w:rFonts w:hint="eastAsia" w:ascii="黑体" w:hAnsi="黑体" w:eastAsia="黑体" w:cs="Times New Roman"/>
          <w:b w:val="0"/>
          <w:spacing w:val="20"/>
          <w:w w:val="135"/>
          <w:sz w:val="28"/>
          <w:lang w:val="en-US" w:eastAsia="zh-CN" w:bidi="ar-SA"/>
        </w:rPr>
        <w:fldChar w:fldCharType="begin">
          <w:ffData>
            <w:name w:val="fm"/>
            <w:enabled/>
            <w:calcOnExit w:val="0"/>
            <w:textInput>
              <w:default w:val="国家市场监督管理总局"/>
            </w:textInput>
          </w:ffData>
        </w:fldChar>
      </w:r>
      <w:r>
        <w:rPr>
          <w:rFonts w:hint="eastAsia" w:ascii="黑体" w:hAnsi="黑体" w:eastAsia="黑体" w:cs="Times New Roman"/>
          <w:b w:val="0"/>
          <w:spacing w:val="20"/>
          <w:w w:val="135"/>
          <w:sz w:val="28"/>
          <w:lang w:val="en-US" w:eastAsia="zh-CN" w:bidi="ar-SA"/>
        </w:rPr>
        <w:instrText xml:space="preserve">FORMTEXT</w:instrText>
      </w:r>
      <w:r>
        <w:rPr>
          <w:rFonts w:hint="eastAsia" w:ascii="黑体" w:hAnsi="黑体" w:eastAsia="黑体" w:cs="Times New Roman"/>
          <w:b w:val="0"/>
          <w:spacing w:val="20"/>
          <w:w w:val="135"/>
          <w:sz w:val="28"/>
          <w:lang w:val="en-US" w:eastAsia="zh-CN" w:bidi="ar-SA"/>
        </w:rPr>
        <w:fldChar w:fldCharType="separate"/>
      </w:r>
      <w:r>
        <w:rPr>
          <w:rFonts w:hint="eastAsia" w:ascii="黑体" w:hAnsi="黑体" w:eastAsia="黑体" w:cs="Times New Roman"/>
          <w:b w:val="0"/>
          <w:spacing w:val="20"/>
          <w:w w:val="135"/>
          <w:sz w:val="28"/>
          <w:lang w:val="en-US" w:eastAsia="zh-CN" w:bidi="ar-SA"/>
        </w:rPr>
        <w:t>国家市场监督管理总局</w:t>
      </w:r>
      <w:r>
        <w:rPr>
          <w:rFonts w:hint="eastAsia" w:ascii="黑体" w:hAnsi="黑体" w:eastAsia="黑体" w:cs="Times New Roman"/>
          <w:b w:val="0"/>
          <w:spacing w:val="20"/>
          <w:w w:val="135"/>
          <w:sz w:val="28"/>
          <w:lang w:val="en-US" w:eastAsia="zh-CN" w:bidi="ar-SA"/>
        </w:rPr>
        <w:fldChar w:fldCharType="end"/>
      </w:r>
      <w:bookmarkEnd w:id="4"/>
      <w:r>
        <w:rPr>
          <w:rFonts w:ascii="Times New Roman"/>
          <w:w w:val="100"/>
          <w:sz w:val="28"/>
        </w:rPr>
        <w:t>  </w:t>
      </w:r>
      <w:r>
        <w:rPr>
          <w:rStyle w:val="230"/>
          <w:rFonts w:hint="eastAsia" w:hAnsi="黑体"/>
          <w:position w:val="0"/>
        </w:rPr>
        <w:t>发</w:t>
      </w:r>
      <w:r>
        <w:rPr>
          <w:rStyle w:val="230"/>
          <w:rFonts w:hint="eastAsia" w:hAnsi="黑体"/>
          <w:spacing w:val="0"/>
          <w:position w:val="0"/>
        </w:rPr>
        <w:t>布</w:t>
      </w:r>
    </w:p>
    <w:p w14:paraId="0265070A">
      <w:pPr>
        <w:rPr>
          <w:rFonts w:ascii="宋体" w:hAnsi="宋体"/>
          <w:sz w:val="28"/>
          <w:szCs w:val="28"/>
        </w:rPr>
        <w:sectPr>
          <w:headerReference r:id="rId6" w:type="first"/>
          <w:footerReference r:id="rId8" w:type="first"/>
          <w:headerReference r:id="rId5" w:type="default"/>
          <w:footerReference r:id="rId7" w:type="even"/>
          <w:type w:val="continuous"/>
          <w:pgSz w:w="11906" w:h="16838"/>
          <w:pgMar w:top="-338" w:right="1134" w:bottom="1021" w:left="1134" w:header="0" w:footer="0"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C30B295">
      <w:pPr>
        <w:pStyle w:val="92"/>
        <w:spacing w:after="468"/>
      </w:pPr>
      <w:bookmarkStart w:id="5" w:name="BookMark1"/>
      <w:r>
        <w:rPr>
          <w:rFonts w:hint="eastAsia"/>
          <w:spacing w:val="320"/>
        </w:rPr>
        <w:t>目</w:t>
      </w:r>
      <w:r>
        <w:rPr>
          <w:rFonts w:hint="eastAsia"/>
        </w:rPr>
        <w:t>次</w:t>
      </w:r>
    </w:p>
    <w:p w14:paraId="71A19FEB">
      <w:pPr>
        <w:pStyle w:val="19"/>
        <w:tabs>
          <w:tab w:val="right" w:leader="dot" w:pos="9354"/>
        </w:tabs>
      </w:pPr>
      <w:r>
        <w:fldChar w:fldCharType="begin"/>
      </w:r>
      <w:r>
        <w:instrText xml:space="preserve"> TOC \o "1-1" \h </w:instrText>
      </w:r>
      <w:r>
        <w:fldChar w:fldCharType="separate"/>
      </w:r>
      <w:r>
        <w:fldChar w:fldCharType="begin"/>
      </w:r>
      <w:r>
        <w:instrText xml:space="preserve"> HYPERLINK \l _Toc17749 </w:instrText>
      </w:r>
      <w:r>
        <w:fldChar w:fldCharType="separate"/>
      </w:r>
      <w:r>
        <w:rPr>
          <w:rFonts w:hint="eastAsia"/>
          <w:lang w:eastAsia="zh-CN"/>
        </w:rPr>
        <w:t>前言</w:t>
      </w:r>
      <w:r>
        <w:tab/>
      </w:r>
      <w:r>
        <w:fldChar w:fldCharType="begin"/>
      </w:r>
      <w:r>
        <w:instrText xml:space="preserve"> PAGEREF _Toc17749 \h </w:instrText>
      </w:r>
      <w:r>
        <w:fldChar w:fldCharType="separate"/>
      </w:r>
      <w:r>
        <w:t>III</w:t>
      </w:r>
      <w:r>
        <w:fldChar w:fldCharType="end"/>
      </w:r>
      <w:r>
        <w:fldChar w:fldCharType="end"/>
      </w:r>
    </w:p>
    <w:p w14:paraId="0E4028A7">
      <w:pPr>
        <w:pStyle w:val="19"/>
        <w:tabs>
          <w:tab w:val="right" w:leader="dot" w:pos="9354"/>
        </w:tabs>
      </w:pPr>
      <w:r>
        <w:fldChar w:fldCharType="begin"/>
      </w:r>
      <w:r>
        <w:instrText xml:space="preserve"> HYPERLINK \l _Toc5289 </w:instrText>
      </w:r>
      <w:r>
        <w:fldChar w:fldCharType="separate"/>
      </w:r>
      <w:r>
        <w:rPr>
          <w:rFonts w:hint="eastAsia" w:ascii="黑体" w:eastAsia="黑体"/>
          <w:i w:val="0"/>
        </w:rPr>
        <w:t xml:space="preserve">1 </w:t>
      </w:r>
      <w:r>
        <w:rPr>
          <w:rFonts w:hint="eastAsia"/>
        </w:rPr>
        <w:t>范围</w:t>
      </w:r>
      <w:r>
        <w:tab/>
      </w:r>
      <w:r>
        <w:fldChar w:fldCharType="begin"/>
      </w:r>
      <w:r>
        <w:instrText xml:space="preserve"> PAGEREF _Toc5289 \h </w:instrText>
      </w:r>
      <w:r>
        <w:fldChar w:fldCharType="separate"/>
      </w:r>
      <w:r>
        <w:t>1</w:t>
      </w:r>
      <w:r>
        <w:fldChar w:fldCharType="end"/>
      </w:r>
      <w:r>
        <w:fldChar w:fldCharType="end"/>
      </w:r>
    </w:p>
    <w:p w14:paraId="434DB180">
      <w:pPr>
        <w:pStyle w:val="19"/>
        <w:tabs>
          <w:tab w:val="right" w:leader="dot" w:pos="9354"/>
        </w:tabs>
      </w:pPr>
      <w:r>
        <w:fldChar w:fldCharType="begin"/>
      </w:r>
      <w:r>
        <w:instrText xml:space="preserve"> HYPERLINK \l _Toc13241 </w:instrText>
      </w:r>
      <w:r>
        <w:fldChar w:fldCharType="separate"/>
      </w:r>
      <w:r>
        <w:rPr>
          <w:rFonts w:hint="eastAsia" w:ascii="黑体" w:eastAsia="黑体"/>
          <w:i w:val="0"/>
        </w:rPr>
        <w:t xml:space="preserve">2 </w:t>
      </w:r>
      <w:r>
        <w:rPr>
          <w:rFonts w:hint="eastAsia"/>
        </w:rPr>
        <w:t>规范性引用文件</w:t>
      </w:r>
      <w:r>
        <w:tab/>
      </w:r>
      <w:r>
        <w:fldChar w:fldCharType="begin"/>
      </w:r>
      <w:r>
        <w:instrText xml:space="preserve"> PAGEREF _Toc13241 \h </w:instrText>
      </w:r>
      <w:r>
        <w:fldChar w:fldCharType="separate"/>
      </w:r>
      <w:r>
        <w:t>1</w:t>
      </w:r>
      <w:r>
        <w:fldChar w:fldCharType="end"/>
      </w:r>
      <w:r>
        <w:fldChar w:fldCharType="end"/>
      </w:r>
    </w:p>
    <w:p w14:paraId="17D8323B">
      <w:pPr>
        <w:pStyle w:val="19"/>
        <w:tabs>
          <w:tab w:val="right" w:leader="dot" w:pos="9354"/>
        </w:tabs>
      </w:pPr>
      <w:r>
        <w:fldChar w:fldCharType="begin"/>
      </w:r>
      <w:r>
        <w:instrText xml:space="preserve"> HYPERLINK \l _Toc32338 </w:instrText>
      </w:r>
      <w:r>
        <w:fldChar w:fldCharType="separate"/>
      </w:r>
      <w:r>
        <w:rPr>
          <w:rFonts w:hint="eastAsia" w:ascii="黑体" w:eastAsia="黑体"/>
          <w:i w:val="0"/>
        </w:rPr>
        <w:t xml:space="preserve">3 </w:t>
      </w:r>
      <w:r>
        <w:rPr>
          <w:rFonts w:hint="eastAsia"/>
          <w:szCs w:val="21"/>
        </w:rPr>
        <w:t>术语和定义</w:t>
      </w:r>
      <w:r>
        <w:tab/>
      </w:r>
      <w:r>
        <w:fldChar w:fldCharType="begin"/>
      </w:r>
      <w:r>
        <w:instrText xml:space="preserve"> PAGEREF _Toc32338 \h </w:instrText>
      </w:r>
      <w:r>
        <w:fldChar w:fldCharType="separate"/>
      </w:r>
      <w:r>
        <w:t>1</w:t>
      </w:r>
      <w:r>
        <w:fldChar w:fldCharType="end"/>
      </w:r>
      <w:r>
        <w:fldChar w:fldCharType="end"/>
      </w:r>
    </w:p>
    <w:p w14:paraId="6F17C3C6">
      <w:pPr>
        <w:pStyle w:val="19"/>
        <w:tabs>
          <w:tab w:val="right" w:leader="dot" w:pos="9354"/>
        </w:tabs>
      </w:pPr>
      <w:r>
        <w:fldChar w:fldCharType="begin"/>
      </w:r>
      <w:r>
        <w:instrText xml:space="preserve"> HYPERLINK \l _Toc4890 </w:instrText>
      </w:r>
      <w:r>
        <w:fldChar w:fldCharType="separate"/>
      </w:r>
      <w:r>
        <w:rPr>
          <w:rFonts w:hint="eastAsia" w:ascii="黑体" w:eastAsia="黑体"/>
          <w:i w:val="0"/>
        </w:rPr>
        <w:t xml:space="preserve">4 </w:t>
      </w:r>
      <w:r>
        <w:rPr>
          <w:rFonts w:hint="eastAsia"/>
          <w:lang w:eastAsia="zh-CN"/>
        </w:rPr>
        <w:t>商户</w:t>
      </w:r>
      <w:r>
        <w:tab/>
      </w:r>
      <w:r>
        <w:fldChar w:fldCharType="begin"/>
      </w:r>
      <w:r>
        <w:instrText xml:space="preserve"> PAGEREF _Toc4890 \h </w:instrText>
      </w:r>
      <w:r>
        <w:fldChar w:fldCharType="separate"/>
      </w:r>
      <w:r>
        <w:t>2</w:t>
      </w:r>
      <w:r>
        <w:fldChar w:fldCharType="end"/>
      </w:r>
      <w:r>
        <w:fldChar w:fldCharType="end"/>
      </w:r>
    </w:p>
    <w:p w14:paraId="72F0FB7C">
      <w:pPr>
        <w:pStyle w:val="19"/>
        <w:tabs>
          <w:tab w:val="right" w:leader="dot" w:pos="9354"/>
        </w:tabs>
      </w:pPr>
      <w:r>
        <w:fldChar w:fldCharType="begin"/>
      </w:r>
      <w:r>
        <w:instrText xml:space="preserve"> HYPERLINK \l _Toc29502 </w:instrText>
      </w:r>
      <w:r>
        <w:fldChar w:fldCharType="separate"/>
      </w:r>
      <w:r>
        <w:rPr>
          <w:rFonts w:hint="eastAsia" w:ascii="黑体" w:eastAsia="黑体"/>
          <w:i w:val="0"/>
          <w:lang w:eastAsia="zh-CN"/>
        </w:rPr>
        <w:t xml:space="preserve">5 </w:t>
      </w:r>
      <w:r>
        <w:rPr>
          <w:rFonts w:hint="eastAsia"/>
          <w:highlight w:val="none"/>
          <w:lang w:eastAsia="zh-CN"/>
        </w:rPr>
        <w:t>外卖</w:t>
      </w:r>
      <w:r>
        <w:rPr>
          <w:rFonts w:hint="eastAsia"/>
          <w:highlight w:val="none"/>
        </w:rPr>
        <w:t>平台</w:t>
      </w:r>
      <w:r>
        <w:tab/>
      </w:r>
      <w:r>
        <w:fldChar w:fldCharType="begin"/>
      </w:r>
      <w:r>
        <w:instrText xml:space="preserve"> PAGEREF _Toc29502 \h </w:instrText>
      </w:r>
      <w:r>
        <w:fldChar w:fldCharType="separate"/>
      </w:r>
      <w:r>
        <w:t>3</w:t>
      </w:r>
      <w:r>
        <w:fldChar w:fldCharType="end"/>
      </w:r>
      <w:r>
        <w:fldChar w:fldCharType="end"/>
      </w:r>
    </w:p>
    <w:p w14:paraId="6B9D94B0">
      <w:pPr>
        <w:pStyle w:val="19"/>
        <w:tabs>
          <w:tab w:val="right" w:leader="dot" w:pos="9354"/>
        </w:tabs>
      </w:pPr>
      <w:r>
        <w:fldChar w:fldCharType="begin"/>
      </w:r>
      <w:r>
        <w:instrText xml:space="preserve"> HYPERLINK \l _Toc17100 </w:instrText>
      </w:r>
      <w:r>
        <w:fldChar w:fldCharType="separate"/>
      </w:r>
      <w:r>
        <w:rPr>
          <w:rFonts w:hint="eastAsia" w:ascii="黑体" w:eastAsia="黑体"/>
          <w:i w:val="0"/>
        </w:rPr>
        <w:t xml:space="preserve">6 </w:t>
      </w:r>
      <w:r>
        <w:rPr>
          <w:rFonts w:hint="eastAsia"/>
          <w:highlight w:val="none"/>
        </w:rPr>
        <w:t>配送</w:t>
      </w:r>
      <w:r>
        <w:rPr>
          <w:rFonts w:hint="eastAsia"/>
          <w:highlight w:val="none"/>
          <w:lang w:eastAsia="zh-CN"/>
        </w:rPr>
        <w:t>员与设施设备</w:t>
      </w:r>
      <w:r>
        <w:tab/>
      </w:r>
      <w:r>
        <w:fldChar w:fldCharType="begin"/>
      </w:r>
      <w:r>
        <w:instrText xml:space="preserve"> PAGEREF _Toc17100 \h </w:instrText>
      </w:r>
      <w:r>
        <w:fldChar w:fldCharType="separate"/>
      </w:r>
      <w:r>
        <w:t>3</w:t>
      </w:r>
      <w:r>
        <w:fldChar w:fldCharType="end"/>
      </w:r>
      <w:r>
        <w:fldChar w:fldCharType="end"/>
      </w:r>
    </w:p>
    <w:p w14:paraId="384F3270">
      <w:pPr>
        <w:pStyle w:val="19"/>
        <w:tabs>
          <w:tab w:val="right" w:leader="dot" w:pos="9354"/>
        </w:tabs>
      </w:pPr>
      <w:r>
        <w:fldChar w:fldCharType="begin"/>
      </w:r>
      <w:r>
        <w:instrText xml:space="preserve"> HYPERLINK \l _Toc25055 </w:instrText>
      </w:r>
      <w:r>
        <w:fldChar w:fldCharType="separate"/>
      </w:r>
      <w:r>
        <w:rPr>
          <w:rFonts w:hint="eastAsia" w:ascii="黑体" w:eastAsia="黑体"/>
          <w:i w:val="0"/>
          <w:lang w:val="en-US" w:eastAsia="zh-CN"/>
        </w:rPr>
        <w:t xml:space="preserve">7 </w:t>
      </w:r>
      <w:r>
        <w:rPr>
          <w:rFonts w:hint="eastAsia"/>
          <w:lang w:val="en-US" w:eastAsia="zh-CN"/>
        </w:rPr>
        <w:t>配送过程控制</w:t>
      </w:r>
      <w:r>
        <w:tab/>
      </w:r>
      <w:r>
        <w:fldChar w:fldCharType="begin"/>
      </w:r>
      <w:r>
        <w:instrText xml:space="preserve"> PAGEREF _Toc25055 \h </w:instrText>
      </w:r>
      <w:r>
        <w:fldChar w:fldCharType="separate"/>
      </w:r>
      <w:r>
        <w:t>4</w:t>
      </w:r>
      <w:r>
        <w:fldChar w:fldCharType="end"/>
      </w:r>
      <w:r>
        <w:fldChar w:fldCharType="end"/>
      </w:r>
    </w:p>
    <w:p w14:paraId="59AA6E98">
      <w:pPr>
        <w:pStyle w:val="19"/>
        <w:tabs>
          <w:tab w:val="right" w:leader="dot" w:pos="9354"/>
        </w:tabs>
      </w:pPr>
      <w:r>
        <w:fldChar w:fldCharType="begin"/>
      </w:r>
      <w:r>
        <w:instrText xml:space="preserve"> HYPERLINK \l _Toc607 </w:instrText>
      </w:r>
      <w:r>
        <w:fldChar w:fldCharType="separate"/>
      </w:r>
      <w:r>
        <w:rPr>
          <w:rFonts w:hint="eastAsia" w:ascii="黑体" w:eastAsia="黑体"/>
          <w:i w:val="0"/>
          <w:lang w:val="en-US" w:eastAsia="zh-CN"/>
        </w:rPr>
        <w:t xml:space="preserve">8 </w:t>
      </w:r>
      <w:r>
        <w:rPr>
          <w:rFonts w:hint="eastAsia"/>
          <w:lang w:val="en-US" w:eastAsia="zh-CN"/>
        </w:rPr>
        <w:t>服务评价与投诉管理</w:t>
      </w:r>
      <w:r>
        <w:tab/>
      </w:r>
      <w:r>
        <w:fldChar w:fldCharType="begin"/>
      </w:r>
      <w:r>
        <w:instrText xml:space="preserve"> PAGEREF _Toc607 \h </w:instrText>
      </w:r>
      <w:r>
        <w:fldChar w:fldCharType="separate"/>
      </w:r>
      <w:r>
        <w:t>5</w:t>
      </w:r>
      <w:r>
        <w:fldChar w:fldCharType="end"/>
      </w:r>
      <w:r>
        <w:fldChar w:fldCharType="end"/>
      </w:r>
    </w:p>
    <w:p w14:paraId="74B47D3C">
      <w:pPr>
        <w:pStyle w:val="19"/>
        <w:tabs>
          <w:tab w:val="right" w:leader="dot" w:pos="9354"/>
        </w:tabs>
      </w:pPr>
      <w:r>
        <w:fldChar w:fldCharType="begin"/>
      </w:r>
      <w:r>
        <w:instrText xml:space="preserve"> HYPERLINK \l _Toc29413 </w:instrText>
      </w:r>
      <w:r>
        <w:fldChar w:fldCharType="separate"/>
      </w:r>
      <w:r>
        <w:rPr>
          <w:rFonts w:hint="eastAsia" w:ascii="黑体" w:eastAsia="黑体"/>
          <w:i w:val="0"/>
          <w:lang w:val="en-US" w:eastAsia="zh-CN"/>
        </w:rPr>
        <w:t xml:space="preserve">9 </w:t>
      </w:r>
      <w:r>
        <w:rPr>
          <w:rFonts w:hint="eastAsia"/>
          <w:lang w:val="en-US" w:eastAsia="zh-CN"/>
        </w:rPr>
        <w:t>应急处理</w:t>
      </w:r>
      <w:r>
        <w:tab/>
      </w:r>
      <w:r>
        <w:fldChar w:fldCharType="begin"/>
      </w:r>
      <w:r>
        <w:instrText xml:space="preserve"> PAGEREF _Toc29413 \h </w:instrText>
      </w:r>
      <w:r>
        <w:fldChar w:fldCharType="separate"/>
      </w:r>
      <w:r>
        <w:t>5</w:t>
      </w:r>
      <w:r>
        <w:fldChar w:fldCharType="end"/>
      </w:r>
      <w:r>
        <w:fldChar w:fldCharType="end"/>
      </w:r>
    </w:p>
    <w:p w14:paraId="1472FD31">
      <w:pPr>
        <w:pStyle w:val="19"/>
        <w:tabs>
          <w:tab w:val="right" w:leader="dot" w:pos="9354"/>
        </w:tabs>
        <w:rPr>
          <w:highlight w:val="none"/>
        </w:rPr>
      </w:pPr>
      <w:r>
        <w:rPr>
          <w:highlight w:val="none"/>
        </w:rPr>
        <w:fldChar w:fldCharType="begin"/>
      </w:r>
      <w:r>
        <w:rPr>
          <w:highlight w:val="none"/>
        </w:rPr>
        <w:instrText xml:space="preserve"> HYPERLINK \l _Toc2484 </w:instrText>
      </w:r>
      <w:r>
        <w:rPr>
          <w:highlight w:val="none"/>
        </w:rPr>
        <w:fldChar w:fldCharType="separate"/>
      </w:r>
      <w:r>
        <w:rPr>
          <w:rFonts w:hint="eastAsia"/>
          <w:spacing w:val="105"/>
          <w:highlight w:val="none"/>
        </w:rPr>
        <w:t>参考文</w:t>
      </w:r>
      <w:r>
        <w:rPr>
          <w:rFonts w:hint="eastAsia"/>
          <w:highlight w:val="none"/>
        </w:rPr>
        <w:t>献</w:t>
      </w:r>
      <w:r>
        <w:rPr>
          <w:highlight w:val="none"/>
        </w:rPr>
        <w:tab/>
      </w:r>
      <w:r>
        <w:rPr>
          <w:highlight w:val="none"/>
        </w:rPr>
        <w:fldChar w:fldCharType="begin"/>
      </w:r>
      <w:r>
        <w:rPr>
          <w:highlight w:val="none"/>
        </w:rPr>
        <w:instrText xml:space="preserve"> PAGEREF _Toc2484 \h </w:instrText>
      </w:r>
      <w:r>
        <w:rPr>
          <w:highlight w:val="none"/>
        </w:rPr>
        <w:fldChar w:fldCharType="separate"/>
      </w:r>
      <w:r>
        <w:rPr>
          <w:highlight w:val="none"/>
        </w:rPr>
        <w:t>6</w:t>
      </w:r>
      <w:r>
        <w:rPr>
          <w:highlight w:val="none"/>
        </w:rPr>
        <w:fldChar w:fldCharType="end"/>
      </w:r>
      <w:r>
        <w:rPr>
          <w:highlight w:val="none"/>
        </w:rPr>
        <w:fldChar w:fldCharType="end"/>
      </w:r>
    </w:p>
    <w:p w14:paraId="139E4A8C">
      <w:pPr>
        <w:pStyle w:val="92"/>
        <w:spacing w:after="468"/>
        <w:sectPr>
          <w:headerReference r:id="rId9" w:type="default"/>
          <w:footerReference r:id="rId11" w:type="default"/>
          <w:headerReference r:id="rId10" w:type="even"/>
          <w:footerReference r:id="rId12" w:type="even"/>
          <w:pgSz w:w="11906" w:h="16838"/>
          <w:pgMar w:top="1928" w:right="1134" w:bottom="1134" w:left="1134" w:header="1418" w:footer="1134" w:gutter="284"/>
          <w:pgNumType w:fmt="upperRoman"/>
          <w:cols w:space="425" w:num="1"/>
          <w:formProt w:val="0"/>
          <w:docGrid w:type="lines" w:linePitch="312" w:charSpace="0"/>
        </w:sectPr>
      </w:pPr>
      <w:r>
        <w:fldChar w:fldCharType="end"/>
      </w:r>
      <w:bookmarkEnd w:id="5"/>
      <w:bookmarkStart w:id="6" w:name="BookMark2"/>
    </w:p>
    <w:p w14:paraId="52942451">
      <w:pPr>
        <w:pStyle w:val="90"/>
        <w:spacing w:before="900" w:after="468"/>
      </w:pPr>
      <w:bookmarkStart w:id="7" w:name="_Toc17749"/>
      <w:r>
        <w:rPr>
          <w:spacing w:val="320"/>
        </w:rPr>
        <w:t>前</w:t>
      </w:r>
      <w:r>
        <w:t>言</w:t>
      </w:r>
      <w:bookmarkEnd w:id="7"/>
    </w:p>
    <w:p w14:paraId="4DF2E99F">
      <w:pPr>
        <w:pStyle w:val="57"/>
      </w:pPr>
      <w:r>
        <w:rPr>
          <w:rFonts w:hint="eastAsia"/>
        </w:rPr>
        <w:t>本文件按照GB/T 1.1</w:t>
      </w:r>
      <w:r>
        <w:rPr>
          <w:rFonts w:hAnsi="宋体"/>
        </w:rPr>
        <w:t>—</w:t>
      </w:r>
      <w:r>
        <w:rPr>
          <w:rFonts w:hint="eastAsia"/>
        </w:rPr>
        <w:t>2020《标准化工作导则  第1部分：标准化文件的结构和起草规则》的规定起草。</w:t>
      </w:r>
    </w:p>
    <w:p w14:paraId="21DDF3F9">
      <w:pPr>
        <w:pStyle w:val="57"/>
        <w:rPr>
          <w:color w:val="auto"/>
        </w:rPr>
      </w:pPr>
      <w:r>
        <w:rPr>
          <w:rFonts w:hint="eastAsia"/>
        </w:rPr>
        <w:t>请注</w:t>
      </w:r>
      <w:r>
        <w:rPr>
          <w:rFonts w:hint="eastAsia"/>
          <w:color w:val="auto"/>
        </w:rPr>
        <w:t>意本文件的某些内容可能涉及专利。本文件的发布机构不承担识别专利的责任。</w:t>
      </w:r>
    </w:p>
    <w:p w14:paraId="5542228A">
      <w:pPr>
        <w:pStyle w:val="57"/>
        <w:rPr>
          <w:color w:val="auto"/>
        </w:rPr>
      </w:pPr>
      <w:r>
        <w:rPr>
          <w:rFonts w:hint="eastAsia"/>
          <w:color w:val="auto"/>
        </w:rPr>
        <w:t>本文件由国家市场监督管理总局提出。</w:t>
      </w:r>
    </w:p>
    <w:p w14:paraId="741B52F8">
      <w:pPr>
        <w:pStyle w:val="57"/>
        <w:rPr>
          <w:color w:val="auto"/>
        </w:rPr>
      </w:pPr>
      <w:r>
        <w:rPr>
          <w:rFonts w:hint="eastAsia"/>
          <w:color w:val="auto"/>
        </w:rPr>
        <w:t>本文件由</w:t>
      </w:r>
      <w:r>
        <w:rPr>
          <w:rFonts w:hint="eastAsia"/>
          <w:color w:val="auto"/>
          <w:lang w:eastAsia="zh-CN"/>
        </w:rPr>
        <w:t>市场监管行业标准化专业技术委员会</w:t>
      </w:r>
      <w:r>
        <w:rPr>
          <w:rFonts w:hint="eastAsia"/>
          <w:color w:val="auto"/>
        </w:rPr>
        <w:t>归口。</w:t>
      </w:r>
    </w:p>
    <w:p w14:paraId="21ED2781">
      <w:pPr>
        <w:pStyle w:val="57"/>
        <w:rPr>
          <w:color w:val="auto"/>
        </w:rPr>
      </w:pPr>
      <w:r>
        <w:rPr>
          <w:rFonts w:hint="eastAsia"/>
          <w:color w:val="auto"/>
        </w:rPr>
        <w:t>本文件起草单位：湖北省市场监督管理局、湖南省市场监督管理局、江西省市场监督管理局、</w:t>
      </w:r>
      <w:r>
        <w:rPr>
          <w:rFonts w:hint="eastAsia"/>
          <w:color w:val="auto"/>
          <w:lang w:eastAsia="zh-CN"/>
        </w:rPr>
        <w:t>辽宁省市场监督管理局、</w:t>
      </w:r>
      <w:r>
        <w:rPr>
          <w:rFonts w:hint="eastAsia"/>
          <w:color w:val="auto"/>
        </w:rPr>
        <w:t xml:space="preserve">湖北省标准化与质量研究院、潜江市市场监督管理局、茶姬（上海）品牌管理有限公司、江汉大学、中国饭店协会、湖北省烹饪酒店行业协会、潜江市烹饪酒店行业协会等。 </w:t>
      </w:r>
    </w:p>
    <w:p w14:paraId="3735247D">
      <w:pPr>
        <w:pStyle w:val="57"/>
        <w:rPr>
          <w:rFonts w:hint="eastAsia"/>
          <w:color w:val="auto"/>
        </w:rPr>
      </w:pPr>
      <w:r>
        <w:rPr>
          <w:rFonts w:hint="eastAsia"/>
          <w:color w:val="auto"/>
        </w:rPr>
        <w:t>本文件主要起草人：吴杰鹏、周坤</w:t>
      </w:r>
      <w:r>
        <w:rPr>
          <w:rFonts w:hint="eastAsia"/>
          <w:color w:val="auto"/>
          <w:lang w:eastAsia="zh-CN"/>
        </w:rPr>
        <w:t>、</w:t>
      </w:r>
      <w:r>
        <w:rPr>
          <w:rFonts w:hint="eastAsia"/>
          <w:color w:val="auto"/>
        </w:rPr>
        <w:t>罗文斌</w:t>
      </w:r>
      <w:r>
        <w:rPr>
          <w:rFonts w:hint="eastAsia"/>
          <w:color w:val="auto"/>
          <w:lang w:eastAsia="zh-CN"/>
        </w:rPr>
        <w:t>、</w:t>
      </w:r>
      <w:r>
        <w:rPr>
          <w:rFonts w:hint="eastAsia"/>
          <w:color w:val="auto"/>
        </w:rPr>
        <w:t>王旭东</w:t>
      </w:r>
      <w:r>
        <w:rPr>
          <w:rFonts w:hint="eastAsia"/>
          <w:color w:val="auto"/>
          <w:lang w:eastAsia="zh-CN"/>
        </w:rPr>
        <w:t>、</w:t>
      </w:r>
      <w:r>
        <w:rPr>
          <w:rFonts w:hint="eastAsia"/>
          <w:color w:val="auto"/>
        </w:rPr>
        <w:t>朱小玲、张会娜、李响、王红波、宋小溪、杨淑芳、杨兵、彭琪瑶、王巧云、熊落义、王晶、夏鸿轶等。</w:t>
      </w:r>
    </w:p>
    <w:p w14:paraId="3DCD2D7C">
      <w:pPr>
        <w:pStyle w:val="57"/>
        <w:rPr>
          <w:color w:val="auto"/>
        </w:rPr>
      </w:pPr>
      <w:r>
        <w:rPr>
          <w:rFonts w:hint="eastAsia"/>
          <w:color w:val="auto"/>
        </w:rPr>
        <w:t>本文件实施应用中的疑问，可咨询湖北省市场监督管理局餐饮服务监督管理处，联系电话：027-88701926，邮箱：23084299@qq.com；对本文件的有关修改意见建议请反馈至湖北省标准化与质量研究院，联系电话：027-88075773，邮箱：hubs_tc29@163.com。</w:t>
      </w:r>
    </w:p>
    <w:p w14:paraId="29AEF10C">
      <w:pPr>
        <w:pStyle w:val="57"/>
        <w:rPr>
          <w:color w:val="auto"/>
        </w:rPr>
      </w:pPr>
    </w:p>
    <w:p w14:paraId="36963A4C">
      <w:pPr>
        <w:pStyle w:val="57"/>
        <w:rPr>
          <w:color w:val="auto"/>
        </w:rPr>
        <w:sectPr>
          <w:headerReference r:id="rId13" w:type="default"/>
          <w:type w:val="oddPage"/>
          <w:pgSz w:w="11906" w:h="16838"/>
          <w:pgMar w:top="1928" w:right="1134" w:bottom="1134" w:left="1134" w:header="1418" w:footer="1134" w:gutter="284"/>
          <w:pgNumType w:fmt="upperRoman"/>
          <w:cols w:space="425" w:num="1"/>
          <w:formProt w:val="0"/>
          <w:docGrid w:type="lines" w:linePitch="312" w:charSpace="0"/>
        </w:sectPr>
      </w:pPr>
    </w:p>
    <w:bookmarkEnd w:id="6"/>
    <w:p w14:paraId="0DEC0905">
      <w:pPr>
        <w:spacing w:line="20" w:lineRule="exact"/>
        <w:jc w:val="center"/>
        <w:rPr>
          <w:rFonts w:ascii="黑体" w:hAnsi="黑体" w:eastAsia="黑体"/>
          <w:color w:val="auto"/>
          <w:sz w:val="32"/>
          <w:szCs w:val="32"/>
        </w:rPr>
      </w:pPr>
      <w:bookmarkStart w:id="8" w:name="BookMark4"/>
    </w:p>
    <w:p w14:paraId="2F0F269D">
      <w:pPr>
        <w:spacing w:line="20" w:lineRule="exact"/>
        <w:jc w:val="center"/>
        <w:rPr>
          <w:rFonts w:ascii="黑体" w:hAnsi="黑体" w:eastAsia="黑体"/>
          <w:color w:val="auto"/>
          <w:sz w:val="32"/>
          <w:szCs w:val="32"/>
        </w:rPr>
      </w:pPr>
    </w:p>
    <w:sdt>
      <w:sdtPr>
        <w:rPr>
          <w:color w:val="auto"/>
        </w:rPr>
        <w:tag w:val="NEW_STAND_NAME"/>
        <w:id w:val="595910757"/>
        <w:lock w:val="sdtLocked"/>
        <w:placeholder>
          <w:docPart w:val="3D5E292842A14FF6A87EF7B53F584A6D"/>
        </w:placeholder>
      </w:sdtPr>
      <w:sdtEndPr>
        <w:rPr>
          <w:color w:val="auto"/>
        </w:rPr>
      </w:sdtEndPr>
      <w:sdtContent>
        <w:p w14:paraId="395F1BFB">
          <w:pPr>
            <w:pStyle w:val="178"/>
            <w:spacing w:before="3" w:beforeLines="1" w:after="0"/>
            <w:rPr>
              <w:color w:val="auto"/>
            </w:rPr>
          </w:pPr>
          <w:bookmarkStart w:id="9" w:name="NEW_STAND_NAME"/>
          <w:r>
            <w:rPr>
              <w:rFonts w:hint="eastAsia"/>
              <w:color w:val="auto"/>
            </w:rPr>
            <w:t>外卖送餐食品安全管理规范</w:t>
          </w:r>
        </w:p>
      </w:sdtContent>
    </w:sdt>
    <w:bookmarkEnd w:id="9"/>
    <w:p w14:paraId="46F6817A">
      <w:pPr>
        <w:pStyle w:val="105"/>
        <w:spacing w:before="312" w:after="312"/>
        <w:rPr>
          <w:color w:val="auto"/>
        </w:rPr>
      </w:pPr>
      <w:bookmarkStart w:id="10" w:name="_Toc97191423"/>
      <w:bookmarkStart w:id="11" w:name="_Toc17233325"/>
      <w:bookmarkStart w:id="12" w:name="_Toc17233333"/>
      <w:bookmarkStart w:id="13" w:name="_Toc5289"/>
      <w:bookmarkStart w:id="14" w:name="_Toc24884218"/>
      <w:bookmarkStart w:id="15" w:name="_Toc26648465"/>
      <w:bookmarkStart w:id="16" w:name="_Toc26986771"/>
      <w:bookmarkStart w:id="17" w:name="_Toc24884211"/>
      <w:bookmarkStart w:id="18" w:name="_Toc26718930"/>
      <w:bookmarkStart w:id="19" w:name="_Toc26986530"/>
      <w:r>
        <w:rPr>
          <w:rFonts w:hint="eastAsia"/>
          <w:color w:val="auto"/>
        </w:rPr>
        <w:t>范围</w:t>
      </w:r>
      <w:bookmarkEnd w:id="10"/>
      <w:bookmarkEnd w:id="11"/>
      <w:bookmarkEnd w:id="12"/>
      <w:bookmarkEnd w:id="13"/>
      <w:bookmarkEnd w:id="14"/>
      <w:bookmarkEnd w:id="15"/>
      <w:bookmarkEnd w:id="16"/>
      <w:bookmarkEnd w:id="17"/>
      <w:bookmarkEnd w:id="18"/>
      <w:bookmarkEnd w:id="19"/>
    </w:p>
    <w:p w14:paraId="5092103A">
      <w:pPr>
        <w:pStyle w:val="57"/>
        <w:rPr>
          <w:color w:val="auto"/>
        </w:rPr>
      </w:pPr>
      <w:bookmarkStart w:id="20" w:name="_Toc26648466"/>
      <w:bookmarkStart w:id="21" w:name="_Toc24884219"/>
      <w:bookmarkStart w:id="22" w:name="_Toc17233326"/>
      <w:bookmarkStart w:id="23" w:name="_Toc17233334"/>
      <w:bookmarkStart w:id="24" w:name="_Toc24884212"/>
      <w:r>
        <w:rPr>
          <w:rFonts w:hint="eastAsia"/>
          <w:color w:val="auto"/>
        </w:rPr>
        <w:t>本文件规定了外卖送餐</w:t>
      </w:r>
      <w:r>
        <w:rPr>
          <w:rFonts w:hint="eastAsia"/>
          <w:color w:val="auto"/>
          <w:lang w:eastAsia="zh-CN"/>
        </w:rPr>
        <w:t>商户、外卖平台、配送员与设施设备、配送过程控制、服务评价与投诉管理、应急处理的</w:t>
      </w:r>
      <w:r>
        <w:rPr>
          <w:rFonts w:hint="eastAsia"/>
          <w:color w:val="auto"/>
        </w:rPr>
        <w:t>食品安全管理</w:t>
      </w:r>
      <w:r>
        <w:rPr>
          <w:rFonts w:hint="eastAsia"/>
          <w:color w:val="auto"/>
          <w:lang w:eastAsia="zh-CN"/>
        </w:rPr>
        <w:t>要求</w:t>
      </w:r>
      <w:r>
        <w:rPr>
          <w:rFonts w:hint="eastAsia"/>
          <w:color w:val="auto"/>
        </w:rPr>
        <w:t>。</w:t>
      </w:r>
    </w:p>
    <w:p w14:paraId="33A31B6B">
      <w:pPr>
        <w:pStyle w:val="57"/>
        <w:rPr>
          <w:color w:val="auto"/>
        </w:rPr>
      </w:pPr>
      <w:r>
        <w:rPr>
          <w:rFonts w:hint="eastAsia"/>
          <w:color w:val="auto"/>
        </w:rPr>
        <w:t>本文件适用于外卖送餐</w:t>
      </w:r>
      <w:r>
        <w:rPr>
          <w:rFonts w:hint="eastAsia"/>
          <w:color w:val="auto"/>
          <w:lang w:eastAsia="zh-CN"/>
        </w:rPr>
        <w:t>过程中</w:t>
      </w:r>
      <w:r>
        <w:rPr>
          <w:color w:val="auto"/>
        </w:rPr>
        <w:t>食品安全</w:t>
      </w:r>
      <w:r>
        <w:rPr>
          <w:rFonts w:hint="eastAsia"/>
          <w:color w:val="auto"/>
          <w:lang w:eastAsia="zh-CN"/>
        </w:rPr>
        <w:t>管控</w:t>
      </w:r>
      <w:r>
        <w:rPr>
          <w:rFonts w:hint="eastAsia"/>
          <w:color w:val="auto"/>
        </w:rPr>
        <w:t>。</w:t>
      </w:r>
    </w:p>
    <w:p w14:paraId="1B293106">
      <w:pPr>
        <w:pStyle w:val="105"/>
        <w:spacing w:before="312" w:after="312"/>
        <w:rPr>
          <w:color w:val="auto"/>
        </w:rPr>
      </w:pPr>
      <w:bookmarkStart w:id="25" w:name="_Toc26986531"/>
      <w:bookmarkStart w:id="26" w:name="_Toc26718931"/>
      <w:bookmarkStart w:id="27" w:name="_Toc13241"/>
      <w:bookmarkStart w:id="28" w:name="_Toc26986772"/>
      <w:bookmarkStart w:id="29" w:name="_Toc97191424"/>
      <w:r>
        <w:rPr>
          <w:rFonts w:hint="eastAsia"/>
          <w:color w:val="auto"/>
        </w:rPr>
        <w:t>规范性引用文件</w:t>
      </w:r>
      <w:bookmarkEnd w:id="20"/>
      <w:bookmarkEnd w:id="21"/>
      <w:bookmarkEnd w:id="22"/>
      <w:bookmarkEnd w:id="23"/>
      <w:bookmarkEnd w:id="24"/>
      <w:bookmarkEnd w:id="25"/>
      <w:bookmarkEnd w:id="26"/>
      <w:bookmarkEnd w:id="27"/>
      <w:bookmarkEnd w:id="28"/>
      <w:bookmarkEnd w:id="29"/>
    </w:p>
    <w:sdt>
      <w:sdtPr>
        <w:rPr>
          <w:rFonts w:hint="eastAsia"/>
          <w:color w:val="auto"/>
        </w:rPr>
        <w:id w:val="715848253"/>
        <w:placeholder>
          <w:docPart w:val="8E05FD43B55C44F4BD405A6B18587DC8"/>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color w:val="auto"/>
        </w:rPr>
      </w:sdtEndPr>
      <w:sdtContent>
        <w:p w14:paraId="79CB2872">
          <w:pPr>
            <w:pStyle w:val="57"/>
            <w:rPr>
              <w:color w:val="auto"/>
            </w:rPr>
          </w:pPr>
          <w:r>
            <w:rPr>
              <w:rFonts w:hint="eastAsia"/>
              <w:color w:val="auto"/>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6F7B3C69">
      <w:pPr>
        <w:pStyle w:val="57"/>
        <w:rPr>
          <w:rFonts w:hint="eastAsia"/>
          <w:color w:val="auto"/>
        </w:rPr>
      </w:pPr>
      <w:r>
        <w:rPr>
          <w:rFonts w:hint="eastAsia"/>
          <w:color w:val="auto"/>
        </w:rPr>
        <w:t>GB 2760</w:t>
      </w:r>
      <w:r>
        <w:rPr>
          <w:rFonts w:hint="eastAsia"/>
          <w:color w:val="auto"/>
          <w:lang w:val="en-US" w:eastAsia="zh-CN"/>
        </w:rPr>
        <w:t xml:space="preserve"> </w:t>
      </w:r>
      <w:r>
        <w:rPr>
          <w:rFonts w:hint="eastAsia"/>
          <w:color w:val="auto"/>
        </w:rPr>
        <w:t>食品安全国家标准 食品添加剂使用标准</w:t>
      </w:r>
    </w:p>
    <w:p w14:paraId="349F259F">
      <w:pPr>
        <w:pStyle w:val="57"/>
        <w:rPr>
          <w:rFonts w:hint="eastAsia" w:eastAsia="宋体"/>
          <w:color w:val="auto"/>
          <w:lang w:val="en-US" w:eastAsia="zh-CN"/>
        </w:rPr>
      </w:pPr>
      <w:r>
        <w:rPr>
          <w:rFonts w:hint="eastAsia"/>
          <w:color w:val="auto"/>
        </w:rPr>
        <w:t>GB 4806　</w:t>
      </w:r>
      <w:r>
        <w:rPr>
          <w:rFonts w:hint="eastAsia"/>
          <w:color w:val="auto"/>
          <w:lang w:eastAsia="zh-CN"/>
        </w:rPr>
        <w:t>（</w:t>
      </w:r>
      <w:r>
        <w:rPr>
          <w:rFonts w:hint="eastAsia"/>
          <w:color w:val="auto"/>
          <w:lang w:val="en-US" w:eastAsia="zh-CN"/>
        </w:rPr>
        <w:t>所有部分）</w:t>
      </w:r>
      <w:r>
        <w:rPr>
          <w:rFonts w:hint="eastAsia"/>
          <w:color w:val="auto"/>
        </w:rPr>
        <w:t>食品安全国家标准</w:t>
      </w:r>
    </w:p>
    <w:p w14:paraId="7A7891D8">
      <w:pPr>
        <w:pStyle w:val="57"/>
        <w:rPr>
          <w:rFonts w:hint="eastAsia"/>
          <w:color w:val="auto"/>
        </w:rPr>
      </w:pPr>
      <w:r>
        <w:rPr>
          <w:rFonts w:hint="eastAsia"/>
          <w:color w:val="auto"/>
        </w:rPr>
        <w:t>GB 17761　电动自行车安全技术规范</w:t>
      </w:r>
    </w:p>
    <w:p w14:paraId="3AF0C405">
      <w:pPr>
        <w:pStyle w:val="57"/>
        <w:rPr>
          <w:rFonts w:hint="eastAsia"/>
          <w:color w:val="auto"/>
        </w:rPr>
      </w:pPr>
      <w:r>
        <w:rPr>
          <w:rFonts w:hint="eastAsia"/>
          <w:color w:val="auto"/>
        </w:rPr>
        <w:t>GB/T 26572　电子电气产品中限用物质的限量要求</w:t>
      </w:r>
    </w:p>
    <w:p w14:paraId="5CB159F4">
      <w:pPr>
        <w:pStyle w:val="57"/>
        <w:rPr>
          <w:rFonts w:hint="eastAsia"/>
          <w:color w:val="auto"/>
        </w:rPr>
      </w:pPr>
      <w:r>
        <w:rPr>
          <w:rFonts w:hint="eastAsia"/>
          <w:color w:val="auto"/>
        </w:rPr>
        <w:t>GB 27952　普通物体表面消毒剂通用要求</w:t>
      </w:r>
    </w:p>
    <w:p w14:paraId="653E0F4B">
      <w:pPr>
        <w:pStyle w:val="57"/>
        <w:rPr>
          <w:rFonts w:hint="eastAsia"/>
          <w:color w:val="auto"/>
        </w:rPr>
      </w:pPr>
      <w:r>
        <w:rPr>
          <w:rFonts w:hint="eastAsia"/>
          <w:color w:val="auto"/>
        </w:rPr>
        <w:t>GB 31654　食品安全国家标准　餐饮服务通用卫生规范</w:t>
      </w:r>
    </w:p>
    <w:p w14:paraId="3B8E2E48">
      <w:pPr>
        <w:pStyle w:val="57"/>
        <w:rPr>
          <w:rFonts w:hint="default" w:eastAsia="宋体"/>
          <w:color w:val="auto"/>
          <w:lang w:val="en-US" w:eastAsia="zh-CN"/>
        </w:rPr>
      </w:pPr>
      <w:r>
        <w:rPr>
          <w:rFonts w:hint="eastAsia"/>
          <w:color w:val="auto"/>
        </w:rPr>
        <w:t>GB/T 40041　外卖餐品信息描述规范</w:t>
      </w:r>
    </w:p>
    <w:p w14:paraId="2D0ABA59">
      <w:pPr>
        <w:pStyle w:val="57"/>
        <w:rPr>
          <w:rFonts w:hint="eastAsia"/>
          <w:color w:val="auto"/>
        </w:rPr>
      </w:pPr>
      <w:r>
        <w:rPr>
          <w:rFonts w:hint="eastAsia"/>
          <w:color w:val="auto"/>
        </w:rPr>
        <w:t>GB/T 46862　外卖平台服务管理基本要求</w:t>
      </w:r>
    </w:p>
    <w:p w14:paraId="75E714E2">
      <w:pPr>
        <w:pStyle w:val="105"/>
        <w:spacing w:before="312" w:after="312"/>
        <w:rPr>
          <w:color w:val="auto"/>
        </w:rPr>
      </w:pPr>
      <w:bookmarkStart w:id="30" w:name="_Toc32338"/>
      <w:bookmarkStart w:id="31" w:name="_Toc97191425"/>
      <w:r>
        <w:rPr>
          <w:rFonts w:hint="eastAsia"/>
          <w:color w:val="auto"/>
          <w:szCs w:val="21"/>
        </w:rPr>
        <w:t>术语和定义</w:t>
      </w:r>
      <w:bookmarkEnd w:id="30"/>
      <w:bookmarkEnd w:id="31"/>
    </w:p>
    <w:p w14:paraId="34A9953C">
      <w:pPr>
        <w:pStyle w:val="57"/>
        <w:rPr>
          <w:color w:val="auto"/>
        </w:rPr>
      </w:pPr>
      <w:bookmarkStart w:id="32" w:name="_Toc26986532"/>
      <w:bookmarkEnd w:id="32"/>
      <w:sdt>
        <w:sdtPr>
          <w:rPr>
            <w:color w:val="auto"/>
          </w:rPr>
          <w:id w:val="-1909835108"/>
          <w:placeholder>
            <w:docPart w:val="8E745B7C1AA64C63B79B4B36F1632ACB"/>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rPr>
            <w:color w:val="auto"/>
          </w:rPr>
        </w:sdtEndPr>
        <w:sdtContent>
          <w:r>
            <w:rPr>
              <w:color w:val="auto"/>
            </w:rPr>
            <w:t>下列术语和定义适用于本文件。</w:t>
          </w:r>
        </w:sdtContent>
      </w:sdt>
    </w:p>
    <w:p w14:paraId="600C8071">
      <w:pPr>
        <w:pStyle w:val="224"/>
        <w:ind w:left="420" w:hanging="420" w:hangingChars="200"/>
        <w:rPr>
          <w:rFonts w:ascii="黑体" w:hAnsi="黑体" w:eastAsia="黑体"/>
          <w:color w:val="auto"/>
        </w:rPr>
      </w:pPr>
    </w:p>
    <w:p w14:paraId="4BF60FD4">
      <w:pPr>
        <w:pStyle w:val="224"/>
        <w:numPr>
          <w:ilvl w:val="2"/>
          <w:numId w:val="0"/>
        </w:numPr>
        <w:ind w:left="-420" w:leftChars="-200" w:firstLine="840" w:firstLineChars="0"/>
        <w:rPr>
          <w:rFonts w:hint="eastAsia" w:ascii="黑体" w:hAnsi="黑体" w:eastAsia="黑体"/>
          <w:color w:val="auto"/>
        </w:rPr>
      </w:pPr>
      <w:r>
        <w:rPr>
          <w:rFonts w:hint="eastAsia" w:ascii="黑体" w:hAnsi="黑体" w:eastAsia="黑体"/>
          <w:color w:val="auto"/>
        </w:rPr>
        <w:t>外卖餐品</w:t>
      </w:r>
      <w:r>
        <w:rPr>
          <w:rFonts w:hint="eastAsia" w:ascii="黑体" w:hAnsi="黑体" w:eastAsia="黑体"/>
          <w:color w:val="auto"/>
          <w:lang w:val="en-US" w:eastAsia="zh-CN"/>
        </w:rPr>
        <w:t xml:space="preserve"> </w:t>
      </w:r>
      <w:r>
        <w:rPr>
          <w:rFonts w:hint="eastAsia" w:ascii="黑体" w:hAnsi="黑体" w:eastAsia="黑体"/>
          <w:color w:val="auto"/>
        </w:rPr>
        <w:t xml:space="preserve"> food delivery</w:t>
      </w:r>
    </w:p>
    <w:p w14:paraId="2061330B">
      <w:pPr>
        <w:pStyle w:val="57"/>
        <w:rPr>
          <w:rFonts w:hint="eastAsia"/>
          <w:color w:val="auto"/>
          <w:lang w:eastAsia="zh-CN"/>
        </w:rPr>
      </w:pPr>
      <w:r>
        <w:rPr>
          <w:rFonts w:hint="eastAsia"/>
          <w:color w:val="auto"/>
          <w:lang w:eastAsia="zh-CN"/>
        </w:rPr>
        <w:t>餐品</w:t>
      </w:r>
    </w:p>
    <w:p w14:paraId="5FA726E9">
      <w:pPr>
        <w:pStyle w:val="57"/>
        <w:rPr>
          <w:rFonts w:hint="eastAsia"/>
          <w:color w:val="auto"/>
        </w:rPr>
      </w:pPr>
      <w:r>
        <w:rPr>
          <w:rFonts w:hint="eastAsia"/>
          <w:color w:val="auto"/>
        </w:rPr>
        <w:t>餐饮服务提供者提供的用于外卖的餐饮制品。</w:t>
      </w:r>
    </w:p>
    <w:p w14:paraId="1E37DE67">
      <w:pPr>
        <w:pStyle w:val="57"/>
        <w:ind w:left="0" w:leftChars="0" w:firstLine="419" w:firstLineChars="233"/>
        <w:rPr>
          <w:rFonts w:hint="eastAsia"/>
          <w:color w:val="auto"/>
          <w:sz w:val="18"/>
          <w:szCs w:val="16"/>
        </w:rPr>
      </w:pPr>
      <w:r>
        <w:rPr>
          <w:rFonts w:hint="eastAsia"/>
          <w:color w:val="auto"/>
          <w:sz w:val="18"/>
          <w:szCs w:val="16"/>
        </w:rPr>
        <w:t>注</w:t>
      </w:r>
      <w:r>
        <w:rPr>
          <w:rFonts w:hint="eastAsia"/>
          <w:color w:val="auto"/>
          <w:sz w:val="18"/>
          <w:szCs w:val="16"/>
          <w:lang w:eastAsia="zh-CN"/>
        </w:rPr>
        <w:t>：</w:t>
      </w:r>
      <w:r>
        <w:rPr>
          <w:rFonts w:hint="eastAsia"/>
          <w:color w:val="auto"/>
          <w:sz w:val="18"/>
          <w:szCs w:val="16"/>
        </w:rPr>
        <w:t>不包括预包装食品。</w:t>
      </w:r>
    </w:p>
    <w:p w14:paraId="37F8E245">
      <w:pPr>
        <w:pStyle w:val="57"/>
        <w:rPr>
          <w:rFonts w:hint="eastAsia"/>
          <w:color w:val="auto"/>
          <w:sz w:val="21"/>
          <w:szCs w:val="20"/>
        </w:rPr>
      </w:pPr>
      <w:r>
        <w:rPr>
          <w:rFonts w:hint="eastAsia"/>
          <w:color w:val="auto"/>
          <w:sz w:val="21"/>
          <w:szCs w:val="20"/>
        </w:rPr>
        <w:t>[来源</w:t>
      </w:r>
      <w:r>
        <w:rPr>
          <w:rFonts w:hint="eastAsia"/>
          <w:color w:val="auto"/>
          <w:sz w:val="21"/>
          <w:szCs w:val="20"/>
          <w:lang w:eastAsia="zh-CN"/>
        </w:rPr>
        <w:t>：</w:t>
      </w:r>
      <w:r>
        <w:rPr>
          <w:rFonts w:hint="eastAsia"/>
          <w:color w:val="auto"/>
          <w:sz w:val="21"/>
          <w:szCs w:val="20"/>
        </w:rPr>
        <w:t>GB/T 40041-2021,3.1]</w:t>
      </w:r>
    </w:p>
    <w:p w14:paraId="29F16DBA">
      <w:pPr>
        <w:pStyle w:val="224"/>
        <w:rPr>
          <w:rFonts w:ascii="黑体" w:hAnsi="黑体" w:eastAsia="黑体"/>
          <w:color w:val="auto"/>
        </w:rPr>
      </w:pPr>
    </w:p>
    <w:p w14:paraId="0F400A9B">
      <w:pPr>
        <w:pStyle w:val="224"/>
        <w:numPr>
          <w:ilvl w:val="0"/>
          <w:numId w:val="0"/>
        </w:numPr>
        <w:ind w:firstLine="420"/>
        <w:rPr>
          <w:rFonts w:hint="eastAsia" w:ascii="黑体" w:hAnsi="黑体" w:eastAsia="黑体"/>
          <w:color w:val="auto"/>
        </w:rPr>
      </w:pPr>
      <w:r>
        <w:rPr>
          <w:rFonts w:hint="eastAsia" w:ascii="黑体" w:hAnsi="黑体" w:eastAsia="黑体"/>
          <w:color w:val="auto"/>
        </w:rPr>
        <w:t>平台内商户</w:t>
      </w:r>
      <w:r>
        <w:rPr>
          <w:rFonts w:hint="eastAsia" w:ascii="黑体" w:hAnsi="黑体" w:eastAsia="黑体"/>
          <w:color w:val="auto"/>
          <w:lang w:val="en-US" w:eastAsia="zh-CN"/>
        </w:rPr>
        <w:t xml:space="preserve">  </w:t>
      </w:r>
      <w:r>
        <w:rPr>
          <w:rFonts w:hint="eastAsia" w:ascii="黑体" w:hAnsi="黑体" w:eastAsia="黑体"/>
          <w:color w:val="auto"/>
        </w:rPr>
        <w:t>merchant</w:t>
      </w:r>
      <w:r>
        <w:rPr>
          <w:rFonts w:hint="eastAsia" w:ascii="黑体" w:hAnsi="黑体" w:eastAsia="黑体"/>
          <w:color w:val="auto"/>
          <w:lang w:val="en-US" w:eastAsia="zh-CN"/>
        </w:rPr>
        <w:t xml:space="preserve"> </w:t>
      </w:r>
      <w:r>
        <w:rPr>
          <w:rFonts w:hint="eastAsia" w:ascii="黑体" w:hAnsi="黑体" w:eastAsia="黑体"/>
          <w:color w:val="auto"/>
        </w:rPr>
        <w:t>within the</w:t>
      </w:r>
      <w:r>
        <w:rPr>
          <w:rFonts w:hint="eastAsia" w:ascii="黑体" w:hAnsi="黑体" w:eastAsia="黑体"/>
          <w:color w:val="auto"/>
          <w:lang w:val="en-US" w:eastAsia="zh-CN"/>
        </w:rPr>
        <w:t xml:space="preserve"> </w:t>
      </w:r>
      <w:r>
        <w:rPr>
          <w:rFonts w:hint="eastAsia" w:ascii="黑体" w:hAnsi="黑体" w:eastAsia="黑体"/>
          <w:color w:val="auto"/>
        </w:rPr>
        <w:t>platform</w:t>
      </w:r>
    </w:p>
    <w:p w14:paraId="1F31D73E">
      <w:pPr>
        <w:pStyle w:val="57"/>
        <w:rPr>
          <w:rFonts w:hint="eastAsia"/>
          <w:color w:val="auto"/>
        </w:rPr>
      </w:pPr>
      <w:r>
        <w:rPr>
          <w:rFonts w:hint="eastAsia"/>
          <w:color w:val="auto"/>
        </w:rPr>
        <w:t>商户</w:t>
      </w:r>
    </w:p>
    <w:p w14:paraId="61E4AA71">
      <w:pPr>
        <w:pStyle w:val="57"/>
        <w:rPr>
          <w:rFonts w:hint="eastAsia"/>
          <w:color w:val="auto"/>
        </w:rPr>
      </w:pPr>
      <w:r>
        <w:rPr>
          <w:rFonts w:hint="eastAsia"/>
          <w:color w:val="auto"/>
        </w:rPr>
        <w:t>通过外卖平台提供餐饮外卖服务的网络交易经营者。</w:t>
      </w:r>
    </w:p>
    <w:p w14:paraId="6AD36233">
      <w:pPr>
        <w:pStyle w:val="57"/>
        <w:rPr>
          <w:rFonts w:hint="eastAsia"/>
          <w:color w:val="auto"/>
        </w:rPr>
      </w:pPr>
      <w:r>
        <w:rPr>
          <w:rFonts w:hint="eastAsia"/>
          <w:color w:val="auto"/>
        </w:rPr>
        <w:t>[来源</w:t>
      </w:r>
      <w:r>
        <w:rPr>
          <w:rFonts w:hint="eastAsia"/>
          <w:color w:val="auto"/>
          <w:lang w:eastAsia="zh-CN"/>
        </w:rPr>
        <w:t>：</w:t>
      </w:r>
      <w:r>
        <w:rPr>
          <w:rFonts w:hint="eastAsia"/>
          <w:color w:val="auto"/>
        </w:rPr>
        <w:t>GB/T 46862-2025,3.</w:t>
      </w:r>
      <w:r>
        <w:rPr>
          <w:rFonts w:hint="eastAsia"/>
          <w:color w:val="auto"/>
          <w:lang w:val="en-US" w:eastAsia="zh-CN"/>
        </w:rPr>
        <w:t>2</w:t>
      </w:r>
      <w:r>
        <w:rPr>
          <w:rFonts w:hint="eastAsia"/>
          <w:color w:val="auto"/>
          <w:sz w:val="21"/>
          <w:szCs w:val="20"/>
        </w:rPr>
        <w:t>]</w:t>
      </w:r>
    </w:p>
    <w:p w14:paraId="489B7881">
      <w:pPr>
        <w:pStyle w:val="224"/>
        <w:rPr>
          <w:color w:val="auto"/>
        </w:rPr>
      </w:pPr>
    </w:p>
    <w:p w14:paraId="541C6A94">
      <w:pPr>
        <w:pStyle w:val="57"/>
        <w:rPr>
          <w:rFonts w:hint="eastAsia" w:ascii="黑体" w:hAnsi="黑体" w:eastAsia="黑体"/>
          <w:color w:val="auto"/>
        </w:rPr>
      </w:pPr>
      <w:r>
        <w:rPr>
          <w:rFonts w:hint="eastAsia" w:ascii="黑体" w:hAnsi="黑体" w:eastAsia="黑体"/>
          <w:color w:val="auto"/>
        </w:rPr>
        <w:t>外卖平台经营者</w:t>
      </w:r>
      <w:r>
        <w:rPr>
          <w:rFonts w:hint="eastAsia" w:ascii="黑体" w:hAnsi="黑体" w:eastAsia="黑体"/>
          <w:color w:val="auto"/>
          <w:lang w:val="en-US" w:eastAsia="zh-CN"/>
        </w:rPr>
        <w:t xml:space="preserve">  </w:t>
      </w:r>
      <w:r>
        <w:rPr>
          <w:rFonts w:hint="eastAsia" w:ascii="黑体" w:hAnsi="黑体" w:eastAsia="黑体"/>
          <w:color w:val="auto"/>
        </w:rPr>
        <w:t>food delivery</w:t>
      </w:r>
      <w:r>
        <w:rPr>
          <w:rFonts w:hint="eastAsia" w:ascii="黑体" w:hAnsi="黑体" w:eastAsia="黑体"/>
          <w:color w:val="auto"/>
          <w:lang w:val="en-US" w:eastAsia="zh-CN"/>
        </w:rPr>
        <w:t xml:space="preserve"> </w:t>
      </w:r>
      <w:r>
        <w:rPr>
          <w:rFonts w:hint="eastAsia" w:ascii="黑体" w:hAnsi="黑体" w:eastAsia="黑体"/>
          <w:color w:val="auto"/>
        </w:rPr>
        <w:t>platform operator</w:t>
      </w:r>
    </w:p>
    <w:p w14:paraId="46D0FF30">
      <w:pPr>
        <w:pStyle w:val="57"/>
        <w:rPr>
          <w:rFonts w:hint="eastAsia"/>
          <w:color w:val="auto"/>
        </w:rPr>
      </w:pPr>
      <w:r>
        <w:rPr>
          <w:rFonts w:hint="eastAsia"/>
          <w:color w:val="auto"/>
        </w:rPr>
        <w:t>外卖平台</w:t>
      </w:r>
    </w:p>
    <w:p w14:paraId="5D79E617">
      <w:pPr>
        <w:pStyle w:val="57"/>
        <w:rPr>
          <w:rFonts w:hint="eastAsia"/>
          <w:color w:val="auto"/>
        </w:rPr>
      </w:pPr>
      <w:r>
        <w:rPr>
          <w:rFonts w:hint="eastAsia"/>
          <w:color w:val="auto"/>
        </w:rPr>
        <w:t>在餐饮外卖服务中为交易双方或多方提供网络经营场所、交易撮合、信息发布等服务</w:t>
      </w:r>
      <w:r>
        <w:rPr>
          <w:rFonts w:hint="eastAsia"/>
          <w:color w:val="auto"/>
          <w:lang w:eastAsia="zh-CN"/>
        </w:rPr>
        <w:t>，</w:t>
      </w:r>
      <w:r>
        <w:rPr>
          <w:rFonts w:hint="eastAsia"/>
          <w:color w:val="auto"/>
        </w:rPr>
        <w:t>供交易双方或多方独立开展交易活动的法人或非法人组织。</w:t>
      </w:r>
    </w:p>
    <w:p w14:paraId="2C78E2BD">
      <w:pPr>
        <w:pStyle w:val="57"/>
        <w:rPr>
          <w:rFonts w:hint="eastAsia" w:ascii="黑体" w:hAnsi="黑体" w:eastAsia="黑体"/>
          <w:color w:val="auto"/>
        </w:rPr>
      </w:pPr>
      <w:r>
        <w:rPr>
          <w:rFonts w:hint="eastAsia"/>
          <w:color w:val="auto"/>
        </w:rPr>
        <w:t>[来源</w:t>
      </w:r>
      <w:r>
        <w:rPr>
          <w:rFonts w:hint="eastAsia"/>
          <w:color w:val="auto"/>
          <w:lang w:eastAsia="zh-CN"/>
        </w:rPr>
        <w:t>：</w:t>
      </w:r>
      <w:r>
        <w:rPr>
          <w:rFonts w:hint="eastAsia"/>
          <w:color w:val="auto"/>
        </w:rPr>
        <w:t>GB/T 46862-2025</w:t>
      </w:r>
      <w:r>
        <w:rPr>
          <w:rFonts w:hint="eastAsia"/>
          <w:color w:val="auto"/>
          <w:lang w:val="en-US" w:eastAsia="zh-CN"/>
        </w:rPr>
        <w:t>,3.1</w:t>
      </w:r>
      <w:r>
        <w:rPr>
          <w:rFonts w:hint="eastAsia"/>
          <w:color w:val="auto"/>
        </w:rPr>
        <w:t>]</w:t>
      </w:r>
    </w:p>
    <w:p w14:paraId="7B283D4D">
      <w:pPr>
        <w:pStyle w:val="224"/>
        <w:rPr>
          <w:color w:val="auto"/>
        </w:rPr>
      </w:pPr>
    </w:p>
    <w:p w14:paraId="3A684171">
      <w:pPr>
        <w:pStyle w:val="57"/>
        <w:rPr>
          <w:rFonts w:hint="eastAsia" w:ascii="黑体" w:hAnsi="黑体" w:eastAsia="黑体"/>
          <w:color w:val="auto"/>
        </w:rPr>
      </w:pPr>
      <w:r>
        <w:rPr>
          <w:rFonts w:hint="eastAsia" w:ascii="黑体" w:hAnsi="黑体" w:eastAsia="黑体"/>
          <w:color w:val="auto"/>
        </w:rPr>
        <w:t>网约配送员</w:t>
      </w:r>
      <w:r>
        <w:rPr>
          <w:rFonts w:hint="eastAsia" w:ascii="黑体" w:hAnsi="黑体" w:eastAsia="黑体"/>
          <w:color w:val="auto"/>
          <w:lang w:val="en-US" w:eastAsia="zh-CN"/>
        </w:rPr>
        <w:t xml:space="preserve">  </w:t>
      </w:r>
      <w:r>
        <w:rPr>
          <w:rFonts w:hint="eastAsia" w:ascii="黑体" w:hAnsi="黑体" w:eastAsia="黑体"/>
          <w:color w:val="auto"/>
        </w:rPr>
        <w:t>on-demand</w:t>
      </w:r>
      <w:r>
        <w:rPr>
          <w:rFonts w:hint="eastAsia" w:ascii="黑体" w:hAnsi="黑体" w:eastAsia="黑体"/>
          <w:color w:val="auto"/>
          <w:lang w:val="en-US" w:eastAsia="zh-CN"/>
        </w:rPr>
        <w:t xml:space="preserve"> </w:t>
      </w:r>
      <w:r>
        <w:rPr>
          <w:rFonts w:hint="eastAsia" w:ascii="黑体" w:hAnsi="黑体" w:eastAsia="黑体"/>
          <w:color w:val="auto"/>
        </w:rPr>
        <w:t>delivery</w:t>
      </w:r>
      <w:r>
        <w:rPr>
          <w:rFonts w:hint="eastAsia" w:ascii="黑体" w:hAnsi="黑体" w:eastAsia="黑体"/>
          <w:color w:val="auto"/>
          <w:lang w:val="en-US" w:eastAsia="zh-CN"/>
        </w:rPr>
        <w:t xml:space="preserve"> </w:t>
      </w:r>
      <w:r>
        <w:rPr>
          <w:rFonts w:hint="eastAsia" w:ascii="黑体" w:hAnsi="黑体" w:eastAsia="黑体"/>
          <w:color w:val="auto"/>
        </w:rPr>
        <w:t>worker</w:t>
      </w:r>
    </w:p>
    <w:p w14:paraId="0D433970">
      <w:pPr>
        <w:pStyle w:val="57"/>
        <w:rPr>
          <w:rFonts w:hint="eastAsia"/>
          <w:color w:val="auto"/>
        </w:rPr>
      </w:pPr>
      <w:r>
        <w:rPr>
          <w:rFonts w:hint="eastAsia"/>
          <w:color w:val="auto"/>
        </w:rPr>
        <w:t>配送员</w:t>
      </w:r>
    </w:p>
    <w:p w14:paraId="56B7F7A9">
      <w:pPr>
        <w:pStyle w:val="57"/>
        <w:rPr>
          <w:rFonts w:hint="eastAsia"/>
          <w:color w:val="auto"/>
        </w:rPr>
      </w:pPr>
      <w:r>
        <w:rPr>
          <w:rFonts w:hint="eastAsia"/>
          <w:color w:val="auto"/>
        </w:rPr>
        <w:t>通过互联网平台等</w:t>
      </w:r>
      <w:r>
        <w:rPr>
          <w:rFonts w:hint="eastAsia"/>
          <w:color w:val="auto"/>
          <w:lang w:eastAsia="zh-CN"/>
        </w:rPr>
        <w:t>，</w:t>
      </w:r>
      <w:r>
        <w:rPr>
          <w:rFonts w:hint="eastAsia"/>
          <w:color w:val="auto"/>
        </w:rPr>
        <w:t>从事接收、验视客户订单并根据订单需求</w:t>
      </w:r>
      <w:r>
        <w:rPr>
          <w:rFonts w:hint="eastAsia"/>
          <w:color w:val="auto"/>
          <w:lang w:eastAsia="zh-CN"/>
        </w:rPr>
        <w:t>，</w:t>
      </w:r>
      <w:r>
        <w:rPr>
          <w:rFonts w:hint="eastAsia"/>
          <w:color w:val="auto"/>
        </w:rPr>
        <w:t>按照外卖平台配送要求及智能规划路线</w:t>
      </w:r>
      <w:r>
        <w:rPr>
          <w:rFonts w:hint="eastAsia"/>
          <w:color w:val="auto"/>
          <w:lang w:eastAsia="zh-CN"/>
        </w:rPr>
        <w:t>，</w:t>
      </w:r>
      <w:r>
        <w:rPr>
          <w:rFonts w:hint="eastAsia"/>
          <w:color w:val="auto"/>
        </w:rPr>
        <w:t>在一定时间内将订单物品递送至指定地点的服务人员。</w:t>
      </w:r>
    </w:p>
    <w:p w14:paraId="05764092">
      <w:pPr>
        <w:pStyle w:val="57"/>
        <w:rPr>
          <w:rFonts w:hint="eastAsia" w:ascii="黑体" w:hAnsi="黑体" w:eastAsia="黑体"/>
          <w:color w:val="auto"/>
        </w:rPr>
      </w:pPr>
      <w:r>
        <w:rPr>
          <w:rFonts w:hint="eastAsia"/>
          <w:color w:val="auto"/>
        </w:rPr>
        <w:t>[来源</w:t>
      </w:r>
      <w:r>
        <w:rPr>
          <w:rFonts w:hint="eastAsia"/>
          <w:color w:val="auto"/>
          <w:lang w:eastAsia="zh-CN"/>
        </w:rPr>
        <w:t>：</w:t>
      </w:r>
      <w:r>
        <w:rPr>
          <w:rFonts w:hint="eastAsia"/>
          <w:color w:val="auto"/>
        </w:rPr>
        <w:t>GB/T 46862-2025,3.</w:t>
      </w:r>
      <w:r>
        <w:rPr>
          <w:rFonts w:hint="eastAsia"/>
          <w:color w:val="auto"/>
          <w:lang w:val="en-US" w:eastAsia="zh-CN"/>
        </w:rPr>
        <w:t>4</w:t>
      </w:r>
      <w:r>
        <w:rPr>
          <w:rFonts w:hint="eastAsia"/>
          <w:color w:val="auto"/>
        </w:rPr>
        <w:t>]</w:t>
      </w:r>
    </w:p>
    <w:p w14:paraId="3F98931D">
      <w:pPr>
        <w:pStyle w:val="224"/>
        <w:rPr>
          <w:color w:val="auto"/>
        </w:rPr>
      </w:pPr>
    </w:p>
    <w:p w14:paraId="2A2BB997">
      <w:pPr>
        <w:pStyle w:val="57"/>
        <w:rPr>
          <w:rFonts w:hint="default" w:ascii="黑体" w:hAnsi="黑体" w:eastAsia="黑体"/>
          <w:color w:val="auto"/>
          <w:lang w:val="en-US" w:eastAsia="zh-CN"/>
        </w:rPr>
      </w:pPr>
      <w:r>
        <w:rPr>
          <w:rFonts w:hint="eastAsia" w:ascii="黑体" w:hAnsi="黑体" w:eastAsia="黑体"/>
          <w:color w:val="auto"/>
          <w:lang w:val="en-US" w:eastAsia="zh-CN"/>
        </w:rPr>
        <w:t>智慧配送设备  intelligent delivery equipment</w:t>
      </w:r>
    </w:p>
    <w:p w14:paraId="39569AD1">
      <w:pPr>
        <w:pStyle w:val="57"/>
        <w:rPr>
          <w:rFonts w:hint="eastAsia"/>
          <w:color w:val="auto"/>
        </w:rPr>
      </w:pPr>
      <w:r>
        <w:rPr>
          <w:rFonts w:hint="eastAsia"/>
          <w:color w:val="auto"/>
        </w:rPr>
        <w:t>应用智能技术实现外卖食品存取、运输、温控等功能的设备，包括但不限于符合国家及地方相关准入规定的智能配送箱、无人配送车</w:t>
      </w:r>
      <w:r>
        <w:rPr>
          <w:rFonts w:hint="eastAsia"/>
          <w:color w:val="auto"/>
          <w:lang w:eastAsia="zh-CN"/>
        </w:rPr>
        <w:t>、</w:t>
      </w:r>
      <w:r>
        <w:rPr>
          <w:rFonts w:hint="eastAsia"/>
          <w:color w:val="auto"/>
        </w:rPr>
        <w:t>配送无人机等。</w:t>
      </w:r>
    </w:p>
    <w:p w14:paraId="04117B09">
      <w:pPr>
        <w:pStyle w:val="224"/>
        <w:rPr>
          <w:color w:val="auto"/>
        </w:rPr>
      </w:pPr>
    </w:p>
    <w:p w14:paraId="29A2A6E4">
      <w:pPr>
        <w:pStyle w:val="57"/>
        <w:rPr>
          <w:rFonts w:hint="default" w:ascii="黑体" w:hAnsi="黑体" w:eastAsia="黑体"/>
          <w:color w:val="auto"/>
          <w:lang w:val="en-US" w:eastAsia="zh-CN"/>
        </w:rPr>
      </w:pPr>
      <w:r>
        <w:rPr>
          <w:rFonts w:hint="eastAsia" w:ascii="黑体" w:hAnsi="黑体" w:eastAsia="黑体"/>
          <w:color w:val="auto"/>
          <w:lang w:val="en-US" w:eastAsia="zh-CN"/>
        </w:rPr>
        <w:t>集中取餐点  centralized food collection point</w:t>
      </w:r>
    </w:p>
    <w:p w14:paraId="63471096">
      <w:pPr>
        <w:pStyle w:val="57"/>
        <w:rPr>
          <w:rFonts w:hint="eastAsia"/>
          <w:color w:val="auto"/>
          <w:lang w:val="en-US" w:eastAsia="zh-CN"/>
        </w:rPr>
      </w:pPr>
      <w:r>
        <w:rPr>
          <w:rFonts w:hint="eastAsia"/>
          <w:color w:val="auto"/>
          <w:lang w:val="en-US" w:eastAsia="zh-CN"/>
        </w:rPr>
        <w:t>为外卖配送提供食品临时存放、存取服务的固定或临时场所，包括但不限于写字楼取餐点、社区集中取餐点、商场集中取餐点等。</w:t>
      </w:r>
    </w:p>
    <w:p w14:paraId="5CD00327">
      <w:pPr>
        <w:pStyle w:val="224"/>
        <w:rPr>
          <w:rFonts w:hint="eastAsia"/>
          <w:color w:val="auto"/>
          <w:lang w:val="en-US" w:eastAsia="zh-CN"/>
        </w:rPr>
      </w:pPr>
    </w:p>
    <w:p w14:paraId="0171C827">
      <w:pPr>
        <w:pStyle w:val="57"/>
        <w:rPr>
          <w:rFonts w:hint="eastAsia" w:ascii="黑体" w:hAnsi="黑体" w:eastAsia="黑体" w:cs="黑体"/>
          <w:color w:val="auto"/>
          <w:lang w:val="en-US" w:eastAsia="zh-CN"/>
        </w:rPr>
      </w:pPr>
      <w:r>
        <w:rPr>
          <w:rFonts w:hint="eastAsia" w:ascii="黑体" w:hAnsi="黑体" w:eastAsia="黑体" w:cs="黑体"/>
          <w:color w:val="auto"/>
          <w:lang w:val="en-US" w:eastAsia="zh-CN"/>
        </w:rPr>
        <w:t>配送服务商  d</w:t>
      </w:r>
      <w:r>
        <w:rPr>
          <w:rFonts w:hint="eastAsia" w:ascii="黑体" w:hAnsi="黑体" w:eastAsia="黑体" w:cs="黑体"/>
          <w:color w:val="auto"/>
        </w:rPr>
        <w:t xml:space="preserve">elivery </w:t>
      </w:r>
      <w:r>
        <w:rPr>
          <w:rFonts w:hint="eastAsia" w:ascii="黑体" w:hAnsi="黑体" w:eastAsia="黑体" w:cs="黑体"/>
          <w:color w:val="auto"/>
          <w:lang w:val="en-US" w:eastAsia="zh-CN"/>
        </w:rPr>
        <w:t>s</w:t>
      </w:r>
      <w:r>
        <w:rPr>
          <w:rFonts w:hint="eastAsia" w:ascii="黑体" w:hAnsi="黑体" w:eastAsia="黑体" w:cs="黑体"/>
          <w:color w:val="auto"/>
        </w:rPr>
        <w:t xml:space="preserve">ervice </w:t>
      </w:r>
      <w:r>
        <w:rPr>
          <w:rFonts w:hint="eastAsia" w:ascii="黑体" w:hAnsi="黑体" w:eastAsia="黑体" w:cs="黑体"/>
          <w:color w:val="auto"/>
          <w:lang w:val="en-US" w:eastAsia="zh-CN"/>
        </w:rPr>
        <w:t>p</w:t>
      </w:r>
      <w:r>
        <w:rPr>
          <w:rFonts w:hint="eastAsia" w:ascii="黑体" w:hAnsi="黑体" w:eastAsia="黑体" w:cs="黑体"/>
          <w:color w:val="auto"/>
        </w:rPr>
        <w:t>rovider</w:t>
      </w:r>
    </w:p>
    <w:p w14:paraId="0D432804">
      <w:pPr>
        <w:pStyle w:val="57"/>
        <w:rPr>
          <w:rFonts w:hint="eastAsia"/>
          <w:color w:val="auto"/>
          <w:lang w:val="en-US" w:eastAsia="zh-CN"/>
        </w:rPr>
      </w:pPr>
      <w:r>
        <w:rPr>
          <w:rFonts w:hint="eastAsia"/>
          <w:color w:val="auto"/>
          <w:lang w:val="en-US" w:eastAsia="zh-CN"/>
        </w:rPr>
        <w:t>提供外卖餐品配送服务的主体，包括自主配送的商户以及专门提供配送服务的第三方配送服务商等。</w:t>
      </w:r>
    </w:p>
    <w:p w14:paraId="1BCEFDAA">
      <w:pPr>
        <w:pStyle w:val="105"/>
        <w:spacing w:before="312" w:after="312"/>
        <w:rPr>
          <w:color w:val="auto"/>
        </w:rPr>
      </w:pPr>
      <w:bookmarkStart w:id="33" w:name="_Toc4890"/>
      <w:r>
        <w:rPr>
          <w:rFonts w:hint="eastAsia"/>
          <w:color w:val="auto"/>
          <w:lang w:eastAsia="zh-CN"/>
        </w:rPr>
        <w:t>商户</w:t>
      </w:r>
      <w:bookmarkEnd w:id="33"/>
    </w:p>
    <w:p w14:paraId="11AE7D72">
      <w:pPr>
        <w:pStyle w:val="224"/>
        <w:spacing w:before="156" w:beforeLines="50" w:after="156" w:afterLines="50"/>
        <w:rPr>
          <w:rFonts w:ascii="Segoe UI" w:hAnsi="Segoe UI" w:eastAsia="Segoe UI" w:cs="Segoe UI"/>
          <w:i w:val="0"/>
          <w:iCs w:val="0"/>
          <w:caps w:val="0"/>
          <w:color w:val="auto"/>
          <w:spacing w:val="0"/>
          <w:sz w:val="24"/>
          <w:szCs w:val="24"/>
        </w:rPr>
      </w:pPr>
      <w:r>
        <w:rPr>
          <w:rFonts w:hint="default" w:ascii="黑体" w:hAnsi="黑体" w:eastAsia="黑体" w:cs="Times New Roman"/>
          <w:color w:val="auto"/>
          <w:sz w:val="21"/>
          <w:lang w:val="en-US" w:eastAsia="zh-CN" w:bidi="ar-SA"/>
        </w:rPr>
        <w:t>一般要求</w:t>
      </w:r>
    </w:p>
    <w:p w14:paraId="0683FFDD">
      <w:pPr>
        <w:pStyle w:val="166"/>
        <w:ind w:left="0" w:firstLine="0"/>
        <w:rPr>
          <w:color w:val="auto"/>
          <w:highlight w:val="none"/>
        </w:rPr>
      </w:pPr>
      <w:r>
        <w:rPr>
          <w:rFonts w:hint="default"/>
          <w:color w:val="auto"/>
          <w:highlight w:val="none"/>
          <w:lang w:val="en-US" w:eastAsia="zh-CN"/>
        </w:rPr>
        <w:t>商户</w:t>
      </w:r>
      <w:r>
        <w:rPr>
          <w:rFonts w:hint="eastAsia"/>
          <w:color w:val="auto"/>
          <w:highlight w:val="none"/>
          <w:lang w:val="en-US" w:eastAsia="zh-CN"/>
        </w:rPr>
        <w:t>的资质、场所</w:t>
      </w:r>
      <w:r>
        <w:rPr>
          <w:rFonts w:hint="default"/>
          <w:color w:val="auto"/>
          <w:highlight w:val="none"/>
          <w:lang w:val="en-US" w:eastAsia="zh-CN"/>
        </w:rPr>
        <w:t>要求，应符合GB/T 46862</w:t>
      </w:r>
      <w:r>
        <w:rPr>
          <w:rFonts w:hint="eastAsia"/>
          <w:color w:val="auto"/>
          <w:highlight w:val="none"/>
          <w:lang w:val="en-US" w:eastAsia="zh-CN"/>
        </w:rPr>
        <w:t>-2025</w:t>
      </w:r>
      <w:r>
        <w:rPr>
          <w:rFonts w:hint="default"/>
          <w:color w:val="auto"/>
          <w:highlight w:val="none"/>
          <w:lang w:val="en-US" w:eastAsia="zh-CN"/>
        </w:rPr>
        <w:t>中第5章的规定。</w:t>
      </w:r>
    </w:p>
    <w:p w14:paraId="361CC755">
      <w:pPr>
        <w:pStyle w:val="166"/>
        <w:ind w:left="0" w:firstLine="0"/>
        <w:rPr>
          <w:color w:val="auto"/>
          <w:highlight w:val="none"/>
        </w:rPr>
      </w:pPr>
      <w:r>
        <w:rPr>
          <w:rFonts w:hint="default" w:ascii="宋体" w:hAnsi="Times New Roman" w:eastAsia="宋体" w:cs="Times New Roman"/>
          <w:color w:val="auto"/>
          <w:sz w:val="21"/>
          <w:highlight w:val="none"/>
          <w:lang w:val="en-US" w:eastAsia="zh-CN" w:bidi="ar-SA"/>
        </w:rPr>
        <w:t>商户的食品安全管理应符合GB 31654</w:t>
      </w:r>
      <w:r>
        <w:rPr>
          <w:rFonts w:hint="eastAsia" w:cs="Times New Roman"/>
          <w:color w:val="auto"/>
          <w:sz w:val="21"/>
          <w:highlight w:val="none"/>
          <w:lang w:val="en-US" w:eastAsia="zh-CN" w:bidi="ar-SA"/>
        </w:rPr>
        <w:t>与</w:t>
      </w:r>
      <w:r>
        <w:rPr>
          <w:rFonts w:hint="eastAsia"/>
          <w:color w:val="auto"/>
          <w:highlight w:val="none"/>
        </w:rPr>
        <w:t>《餐饮服务食品安全操作规范》</w:t>
      </w:r>
      <w:r>
        <w:rPr>
          <w:rFonts w:hint="default" w:ascii="宋体" w:hAnsi="Times New Roman" w:eastAsia="宋体" w:cs="Times New Roman"/>
          <w:color w:val="auto"/>
          <w:sz w:val="21"/>
          <w:highlight w:val="none"/>
          <w:lang w:val="en-US" w:eastAsia="zh-CN" w:bidi="ar-SA"/>
        </w:rPr>
        <w:t>的要求。</w:t>
      </w:r>
    </w:p>
    <w:p w14:paraId="10E8D8DC">
      <w:pPr>
        <w:pStyle w:val="166"/>
        <w:ind w:left="0" w:firstLine="0"/>
        <w:rPr>
          <w:color w:val="auto"/>
          <w:highlight w:val="none"/>
        </w:rPr>
      </w:pPr>
      <w:r>
        <w:rPr>
          <w:rFonts w:hint="eastAsia"/>
          <w:color w:val="auto"/>
          <w:highlight w:val="none"/>
          <w:lang w:eastAsia="zh-CN"/>
        </w:rPr>
        <w:t>商户的</w:t>
      </w:r>
      <w:r>
        <w:rPr>
          <w:rFonts w:hint="eastAsia"/>
          <w:color w:val="auto"/>
          <w:highlight w:val="none"/>
        </w:rPr>
        <w:t>外卖餐品信息描述</w:t>
      </w:r>
      <w:r>
        <w:rPr>
          <w:rFonts w:hint="eastAsia"/>
          <w:color w:val="auto"/>
          <w:highlight w:val="none"/>
          <w:lang w:eastAsia="zh-CN"/>
        </w:rPr>
        <w:t>应符合</w:t>
      </w:r>
      <w:r>
        <w:rPr>
          <w:rFonts w:hint="eastAsia"/>
          <w:color w:val="auto"/>
          <w:highlight w:val="none"/>
        </w:rPr>
        <w:t>GB/T 4004</w:t>
      </w:r>
      <w:r>
        <w:rPr>
          <w:rFonts w:hint="eastAsia"/>
          <w:color w:val="auto"/>
          <w:highlight w:val="none"/>
          <w:lang w:val="en-US" w:eastAsia="zh-CN"/>
        </w:rPr>
        <w:t>1的要求</w:t>
      </w:r>
      <w:r>
        <w:rPr>
          <w:rFonts w:hint="eastAsia"/>
          <w:color w:val="auto"/>
          <w:highlight w:val="none"/>
          <w:lang w:eastAsia="zh-CN"/>
        </w:rPr>
        <w:t>，</w:t>
      </w:r>
      <w:r>
        <w:rPr>
          <w:rFonts w:hint="eastAsia"/>
          <w:color w:val="auto"/>
          <w:highlight w:val="none"/>
        </w:rPr>
        <w:t>不</w:t>
      </w:r>
      <w:r>
        <w:rPr>
          <w:rFonts w:hint="eastAsia" w:eastAsia="宋体"/>
          <w:color w:val="auto"/>
          <w:highlight w:val="none"/>
          <w:lang w:eastAsia="zh-CN"/>
        </w:rPr>
        <w:t>可</w:t>
      </w:r>
      <w:r>
        <w:rPr>
          <w:rFonts w:hint="eastAsia"/>
          <w:color w:val="auto"/>
          <w:highlight w:val="none"/>
        </w:rPr>
        <w:t>利用技术手段对餐品图片进行</w:t>
      </w:r>
      <w:r>
        <w:rPr>
          <w:rFonts w:hint="eastAsia"/>
          <w:color w:val="auto"/>
          <w:highlight w:val="none"/>
          <w:lang w:eastAsia="zh-CN"/>
        </w:rPr>
        <w:t>过度</w:t>
      </w:r>
      <w:r>
        <w:rPr>
          <w:rFonts w:hint="eastAsia"/>
          <w:color w:val="auto"/>
          <w:highlight w:val="none"/>
        </w:rPr>
        <w:t>美化修饰。</w:t>
      </w:r>
    </w:p>
    <w:p w14:paraId="7E7368F6">
      <w:pPr>
        <w:pStyle w:val="166"/>
        <w:ind w:left="0" w:firstLine="0"/>
        <w:rPr>
          <w:rFonts w:hint="eastAsia" w:ascii="宋体" w:hAnsi="Times New Roman" w:eastAsia="宋体" w:cs="Times New Roman"/>
          <w:color w:val="auto"/>
          <w:sz w:val="21"/>
          <w:lang w:val="en-US" w:eastAsia="zh-CN" w:bidi="ar-SA"/>
        </w:rPr>
      </w:pPr>
      <w:r>
        <w:rPr>
          <w:rFonts w:hint="eastAsia"/>
          <w:color w:val="auto"/>
          <w:lang w:eastAsia="zh-CN"/>
        </w:rPr>
        <w:t>商户</w:t>
      </w:r>
      <w:r>
        <w:rPr>
          <w:rFonts w:hint="eastAsia" w:ascii="宋体" w:hAnsi="Times New Roman" w:eastAsia="宋体" w:cs="Times New Roman"/>
          <w:color w:val="auto"/>
          <w:sz w:val="21"/>
          <w:lang w:val="en-US" w:eastAsia="zh-CN" w:bidi="ar-SA"/>
        </w:rPr>
        <w:t>应接入服务所在地食品安全监管系统，</w:t>
      </w:r>
      <w:r>
        <w:rPr>
          <w:rFonts w:hint="eastAsia" w:cs="Times New Roman"/>
          <w:color w:val="auto"/>
          <w:sz w:val="21"/>
          <w:lang w:val="en-US" w:eastAsia="zh-CN" w:bidi="ar-SA"/>
        </w:rPr>
        <w:t>并</w:t>
      </w:r>
      <w:r>
        <w:rPr>
          <w:rFonts w:hint="eastAsia" w:ascii="宋体" w:hAnsi="Times New Roman" w:eastAsia="宋体" w:cs="Times New Roman"/>
          <w:color w:val="auto"/>
          <w:sz w:val="21"/>
          <w:lang w:val="en-US" w:eastAsia="zh-CN" w:bidi="ar-SA"/>
        </w:rPr>
        <w:t>在外卖平台展示。</w:t>
      </w:r>
    </w:p>
    <w:p w14:paraId="7954FAAE">
      <w:pPr>
        <w:pStyle w:val="166"/>
        <w:ind w:left="0" w:firstLine="0"/>
        <w:rPr>
          <w:color w:val="auto"/>
          <w:highlight w:val="none"/>
        </w:rPr>
      </w:pPr>
      <w:r>
        <w:rPr>
          <w:rFonts w:hint="eastAsia" w:eastAsia="宋体"/>
          <w:color w:val="auto"/>
          <w:highlight w:val="none"/>
          <w:lang w:eastAsia="zh-CN"/>
        </w:rPr>
        <w:t>商户</w:t>
      </w:r>
      <w:r>
        <w:rPr>
          <w:rFonts w:hint="eastAsia"/>
          <w:color w:val="auto"/>
        </w:rPr>
        <w:t>宜购买食品安全责任险</w:t>
      </w:r>
      <w:r>
        <w:rPr>
          <w:rFonts w:hint="eastAsia"/>
          <w:color w:val="auto"/>
          <w:lang w:eastAsia="zh-CN"/>
        </w:rPr>
        <w:t>。</w:t>
      </w:r>
    </w:p>
    <w:p w14:paraId="38CF4DA1">
      <w:pPr>
        <w:pStyle w:val="224"/>
        <w:spacing w:before="156" w:beforeLines="50" w:after="156" w:afterLines="50"/>
        <w:rPr>
          <w:rFonts w:hint="default" w:ascii="Segoe UI" w:hAnsi="Segoe UI" w:eastAsia="Segoe UI" w:cs="Segoe UI"/>
          <w:i w:val="0"/>
          <w:iCs w:val="0"/>
          <w:caps w:val="0"/>
          <w:color w:val="auto"/>
          <w:spacing w:val="0"/>
          <w:sz w:val="24"/>
          <w:szCs w:val="24"/>
          <w:highlight w:val="none"/>
          <w:shd w:val="clear" w:fill="FFFFFF"/>
        </w:rPr>
      </w:pPr>
      <w:r>
        <w:rPr>
          <w:rFonts w:hint="eastAsia" w:ascii="黑体" w:hAnsi="黑体" w:eastAsia="黑体" w:cs="Times New Roman"/>
          <w:color w:val="auto"/>
          <w:sz w:val="21"/>
          <w:highlight w:val="none"/>
          <w:lang w:val="en-US" w:eastAsia="zh-CN" w:bidi="ar-SA"/>
        </w:rPr>
        <w:t>外卖取餐区</w:t>
      </w:r>
    </w:p>
    <w:p w14:paraId="76064849">
      <w:pPr>
        <w:pStyle w:val="166"/>
        <w:ind w:left="0" w:firstLine="0"/>
        <w:rPr>
          <w:rFonts w:hint="default"/>
          <w:color w:val="auto"/>
          <w:highlight w:val="none"/>
        </w:rPr>
      </w:pPr>
      <w:r>
        <w:rPr>
          <w:rFonts w:hint="eastAsia"/>
          <w:color w:val="auto"/>
          <w:highlight w:val="none"/>
        </w:rPr>
        <w:t>商户应设置独立、标识清晰的专用外卖</w:t>
      </w:r>
      <w:r>
        <w:rPr>
          <w:rFonts w:hint="eastAsia"/>
          <w:color w:val="auto"/>
          <w:highlight w:val="none"/>
          <w:lang w:eastAsia="zh-CN"/>
        </w:rPr>
        <w:t>取餐</w:t>
      </w:r>
      <w:r>
        <w:rPr>
          <w:rFonts w:hint="eastAsia"/>
          <w:color w:val="auto"/>
          <w:highlight w:val="none"/>
        </w:rPr>
        <w:t>区，该区域应与食品加工制作区有效分离。</w:t>
      </w:r>
    </w:p>
    <w:p w14:paraId="74A00267">
      <w:pPr>
        <w:pStyle w:val="166"/>
        <w:ind w:left="0" w:firstLine="0"/>
        <w:rPr>
          <w:rFonts w:hint="default"/>
          <w:color w:val="auto"/>
          <w:highlight w:val="none"/>
        </w:rPr>
      </w:pPr>
      <w:r>
        <w:rPr>
          <w:rFonts w:hint="default"/>
          <w:color w:val="auto"/>
          <w:highlight w:val="none"/>
        </w:rPr>
        <w:t>外卖</w:t>
      </w:r>
      <w:r>
        <w:rPr>
          <w:rFonts w:hint="eastAsia"/>
          <w:color w:val="auto"/>
          <w:highlight w:val="none"/>
          <w:lang w:eastAsia="zh-CN"/>
        </w:rPr>
        <w:t>取餐</w:t>
      </w:r>
      <w:r>
        <w:rPr>
          <w:rFonts w:hint="default"/>
          <w:color w:val="auto"/>
          <w:highlight w:val="none"/>
        </w:rPr>
        <w:t>区应保持环境整洁，每日清洁消毒，防止取餐过程造成交叉污染。</w:t>
      </w:r>
    </w:p>
    <w:p w14:paraId="20C2BBBA">
      <w:pPr>
        <w:pStyle w:val="224"/>
        <w:spacing w:before="156" w:beforeLines="50" w:after="156" w:afterLines="50"/>
        <w:rPr>
          <w:rFonts w:hint="default" w:ascii="Segoe UI" w:hAnsi="Segoe UI" w:eastAsia="Segoe UI" w:cs="Segoe UI"/>
          <w:i w:val="0"/>
          <w:iCs w:val="0"/>
          <w:caps w:val="0"/>
          <w:color w:val="auto"/>
          <w:spacing w:val="0"/>
          <w:sz w:val="24"/>
          <w:szCs w:val="24"/>
          <w:highlight w:val="none"/>
        </w:rPr>
      </w:pPr>
      <w:r>
        <w:rPr>
          <w:rFonts w:hint="default" w:ascii="黑体" w:hAnsi="黑体" w:eastAsia="黑体" w:cs="Times New Roman"/>
          <w:color w:val="auto"/>
          <w:sz w:val="21"/>
          <w:highlight w:val="none"/>
          <w:lang w:val="en-US" w:eastAsia="zh-CN" w:bidi="ar-SA"/>
        </w:rPr>
        <w:t>包装与</w:t>
      </w:r>
      <w:r>
        <w:rPr>
          <w:rFonts w:hint="eastAsia" w:ascii="黑体" w:hAnsi="黑体" w:eastAsia="黑体" w:cs="Times New Roman"/>
          <w:color w:val="auto"/>
          <w:sz w:val="21"/>
          <w:highlight w:val="none"/>
          <w:lang w:val="en-US" w:eastAsia="zh-CN" w:bidi="ar-SA"/>
        </w:rPr>
        <w:t>封签</w:t>
      </w:r>
    </w:p>
    <w:p w14:paraId="78AC03F1">
      <w:pPr>
        <w:pStyle w:val="166"/>
        <w:keepNext w:val="0"/>
        <w:keepLines w:val="0"/>
        <w:pageBreakBefore w:val="0"/>
        <w:widowControl w:val="0"/>
        <w:kinsoku/>
        <w:wordWrap/>
        <w:overflowPunct/>
        <w:topLinePunct w:val="0"/>
        <w:autoSpaceDE/>
        <w:autoSpaceDN/>
        <w:bidi w:val="0"/>
        <w:snapToGrid/>
        <w:spacing w:line="240" w:lineRule="auto"/>
        <w:ind w:left="0" w:firstLine="0"/>
        <w:textAlignment w:val="auto"/>
        <w:rPr>
          <w:rFonts w:hint="default"/>
          <w:color w:val="auto"/>
          <w:highlight w:val="none"/>
        </w:rPr>
      </w:pPr>
      <w:r>
        <w:rPr>
          <w:rFonts w:hint="default" w:ascii="宋体" w:hAnsi="Times New Roman" w:eastAsia="宋体" w:cs="Times New Roman"/>
          <w:color w:val="auto"/>
          <w:sz w:val="21"/>
          <w:highlight w:val="none"/>
          <w:lang w:val="en-US" w:eastAsia="zh-CN" w:bidi="ar-SA"/>
        </w:rPr>
        <w:t>餐品应使用符合食品安全标准的包装</w:t>
      </w:r>
      <w:r>
        <w:rPr>
          <w:rFonts w:hint="eastAsia" w:cs="Times New Roman"/>
          <w:color w:val="auto"/>
          <w:sz w:val="21"/>
          <w:highlight w:val="none"/>
          <w:lang w:val="en-US" w:eastAsia="zh-CN" w:bidi="ar-SA"/>
        </w:rPr>
        <w:t>和封签</w:t>
      </w:r>
      <w:r>
        <w:rPr>
          <w:rFonts w:hint="default" w:ascii="宋体" w:hAnsi="Times New Roman" w:eastAsia="宋体" w:cs="Times New Roman"/>
          <w:color w:val="auto"/>
          <w:sz w:val="21"/>
          <w:highlight w:val="none"/>
          <w:lang w:val="en-US" w:eastAsia="zh-CN" w:bidi="ar-SA"/>
        </w:rPr>
        <w:t>材料。</w:t>
      </w:r>
    </w:p>
    <w:p w14:paraId="50CC7F7B">
      <w:pPr>
        <w:pStyle w:val="166"/>
        <w:keepNext w:val="0"/>
        <w:keepLines w:val="0"/>
        <w:pageBreakBefore w:val="0"/>
        <w:widowControl w:val="0"/>
        <w:kinsoku/>
        <w:wordWrap/>
        <w:overflowPunct/>
        <w:topLinePunct w:val="0"/>
        <w:autoSpaceDE/>
        <w:autoSpaceDN/>
        <w:bidi w:val="0"/>
        <w:snapToGrid/>
        <w:spacing w:line="240" w:lineRule="auto"/>
        <w:ind w:left="0" w:firstLine="0"/>
        <w:textAlignment w:val="auto"/>
        <w:rPr>
          <w:rFonts w:hint="default"/>
          <w:color w:val="auto"/>
          <w:highlight w:val="none"/>
        </w:rPr>
      </w:pPr>
      <w:r>
        <w:rPr>
          <w:rFonts w:hint="default" w:ascii="宋体" w:hAnsi="Times New Roman" w:eastAsia="宋体" w:cs="Times New Roman"/>
          <w:color w:val="auto"/>
          <w:sz w:val="21"/>
          <w:highlight w:val="none"/>
          <w:lang w:val="en-US" w:eastAsia="zh-CN" w:bidi="ar-SA"/>
        </w:rPr>
        <w:t>餐品包装应能防止送餐过程中渗漏、变形和污染。配送热食、冷食、冰品等对温度有特殊要求的餐品时，应使用具有相应保温或保冷性能的包装。</w:t>
      </w:r>
    </w:p>
    <w:p w14:paraId="3A6A37ED">
      <w:pPr>
        <w:keepNext w:val="0"/>
        <w:keepLines w:val="0"/>
        <w:pageBreakBefore w:val="0"/>
        <w:widowControl w:val="0"/>
        <w:numPr>
          <w:ilvl w:val="3"/>
          <w:numId w:val="2"/>
        </w:numPr>
        <w:kinsoku/>
        <w:wordWrap/>
        <w:overflowPunct/>
        <w:topLinePunct w:val="0"/>
        <w:autoSpaceDE/>
        <w:autoSpaceDN/>
        <w:bidi w:val="0"/>
        <w:snapToGrid/>
        <w:spacing w:before="0" w:beforeLines="0" w:after="0" w:afterLines="0" w:line="240" w:lineRule="auto"/>
        <w:jc w:val="both"/>
        <w:textAlignment w:val="auto"/>
        <w:outlineLvl w:val="9"/>
        <w:rPr>
          <w:rFonts w:ascii="宋体" w:hAnsi="Times New Roman" w:eastAsia="宋体" w:cs="Times New Roman"/>
          <w:color w:val="auto"/>
          <w:sz w:val="21"/>
          <w:lang w:val="en-US" w:eastAsia="zh-CN" w:bidi="ar-SA"/>
        </w:rPr>
      </w:pPr>
      <w:r>
        <w:rPr>
          <w:rFonts w:hint="eastAsia" w:ascii="宋体" w:hAnsi="Times New Roman" w:eastAsia="宋体" w:cs="Times New Roman"/>
          <w:color w:val="auto"/>
          <w:sz w:val="21"/>
          <w:lang w:val="en-US" w:eastAsia="zh-CN" w:bidi="ar-SA"/>
        </w:rPr>
        <w:t>外卖餐品包装完成后应使用外卖餐食一次性封签或</w:t>
      </w:r>
      <w:r>
        <w:rPr>
          <w:rFonts w:hint="eastAsia" w:ascii="宋体" w:hAnsi="Times New Roman" w:cs="Times New Roman"/>
          <w:color w:val="auto"/>
          <w:sz w:val="21"/>
          <w:lang w:val="en-US" w:eastAsia="zh-CN" w:bidi="ar-SA"/>
        </w:rPr>
        <w:t>其他</w:t>
      </w:r>
      <w:r>
        <w:rPr>
          <w:rFonts w:hint="eastAsia" w:ascii="宋体" w:hAnsi="Times New Roman" w:eastAsia="宋体" w:cs="Times New Roman"/>
          <w:color w:val="auto"/>
          <w:sz w:val="21"/>
          <w:lang w:val="en-US" w:eastAsia="zh-CN" w:bidi="ar-SA"/>
        </w:rPr>
        <w:t>能达到同等防拆封效果的方式进行封口，包装或容器上应有订单信息标签或标注，注明外卖餐品提供者名称、餐品名称、下单时间、出餐时间等信息，宜在封签使用二维码等可溯源的信息技术手段记录相关信息。</w:t>
      </w:r>
    </w:p>
    <w:p w14:paraId="37C69892">
      <w:pPr>
        <w:keepNext w:val="0"/>
        <w:keepLines w:val="0"/>
        <w:pageBreakBefore w:val="0"/>
        <w:widowControl w:val="0"/>
        <w:numPr>
          <w:ilvl w:val="3"/>
          <w:numId w:val="2"/>
        </w:numPr>
        <w:kinsoku/>
        <w:wordWrap/>
        <w:overflowPunct/>
        <w:topLinePunct w:val="0"/>
        <w:autoSpaceDE/>
        <w:autoSpaceDN/>
        <w:bidi w:val="0"/>
        <w:snapToGrid/>
        <w:spacing w:before="0" w:beforeLines="0" w:after="0" w:afterLines="0" w:line="240" w:lineRule="auto"/>
        <w:jc w:val="both"/>
        <w:textAlignment w:val="auto"/>
        <w:outlineLvl w:val="9"/>
        <w:rPr>
          <w:rFonts w:ascii="宋体" w:hAnsi="Times New Roman" w:eastAsia="宋体" w:cs="Times New Roman"/>
          <w:color w:val="auto"/>
          <w:sz w:val="21"/>
          <w:lang w:val="en-US" w:eastAsia="zh-CN" w:bidi="ar-SA"/>
        </w:rPr>
      </w:pPr>
      <w:r>
        <w:rPr>
          <w:rFonts w:hint="eastAsia" w:ascii="宋体" w:hAnsi="Times New Roman" w:eastAsia="宋体" w:cs="Times New Roman"/>
          <w:color w:val="auto"/>
          <w:sz w:val="21"/>
          <w:lang w:val="en-US" w:eastAsia="zh-CN" w:bidi="ar-SA"/>
        </w:rPr>
        <w:t>粘贴应牢固，避免二次开启。封签</w:t>
      </w:r>
      <w:r>
        <w:rPr>
          <w:rFonts w:ascii="宋体" w:hAnsi="Times New Roman" w:eastAsia="宋体" w:cs="Times New Roman"/>
          <w:color w:val="auto"/>
          <w:sz w:val="21"/>
          <w:lang w:val="en-US" w:eastAsia="zh-CN" w:bidi="ar-SA"/>
        </w:rPr>
        <w:t>不应直接接触食</w:t>
      </w:r>
      <w:r>
        <w:rPr>
          <w:rFonts w:hint="eastAsia" w:ascii="宋体" w:hAnsi="Times New Roman" w:eastAsia="宋体" w:cs="Times New Roman"/>
          <w:color w:val="auto"/>
          <w:sz w:val="21"/>
          <w:lang w:val="en-US" w:eastAsia="zh-CN" w:bidi="ar-SA"/>
        </w:rPr>
        <w:t>物</w:t>
      </w:r>
      <w:r>
        <w:rPr>
          <w:rFonts w:ascii="宋体" w:hAnsi="Times New Roman" w:eastAsia="宋体" w:cs="Times New Roman"/>
          <w:color w:val="auto"/>
          <w:sz w:val="21"/>
          <w:lang w:val="en-US" w:eastAsia="zh-CN" w:bidi="ar-SA"/>
        </w:rPr>
        <w:t>。</w:t>
      </w:r>
    </w:p>
    <w:p w14:paraId="1909CE41">
      <w:pPr>
        <w:pStyle w:val="166"/>
        <w:keepNext w:val="0"/>
        <w:keepLines w:val="0"/>
        <w:pageBreakBefore w:val="0"/>
        <w:widowControl w:val="0"/>
        <w:kinsoku/>
        <w:wordWrap/>
        <w:overflowPunct/>
        <w:topLinePunct w:val="0"/>
        <w:autoSpaceDE/>
        <w:autoSpaceDN/>
        <w:bidi w:val="0"/>
        <w:snapToGrid/>
        <w:spacing w:line="240" w:lineRule="auto"/>
        <w:ind w:left="0" w:firstLine="0"/>
        <w:textAlignment w:val="auto"/>
        <w:rPr>
          <w:rFonts w:hint="default"/>
          <w:color w:val="auto"/>
          <w:highlight w:val="none"/>
        </w:rPr>
      </w:pPr>
      <w:r>
        <w:rPr>
          <w:rFonts w:hint="eastAsia" w:ascii="宋体" w:hAnsi="Times New Roman" w:eastAsia="宋体" w:cs="Times New Roman"/>
          <w:color w:val="auto"/>
          <w:sz w:val="21"/>
          <w:lang w:val="en-US" w:eastAsia="zh-CN" w:bidi="ar-SA"/>
        </w:rPr>
        <w:t>封签宜在显著位置标注“封签破损、请勿签收”等提示语。</w:t>
      </w:r>
    </w:p>
    <w:p w14:paraId="325F0356">
      <w:pPr>
        <w:pStyle w:val="224"/>
        <w:spacing w:before="156" w:beforeLines="50" w:after="156" w:afterLines="50"/>
        <w:rPr>
          <w:rFonts w:hint="default" w:ascii="宋体" w:hAnsi="Times New Roman" w:eastAsia="宋体" w:cs="Times New Roman"/>
          <w:color w:val="auto"/>
          <w:sz w:val="21"/>
          <w:highlight w:val="none"/>
          <w:lang w:val="en-US" w:eastAsia="zh-CN" w:bidi="ar-SA"/>
        </w:rPr>
      </w:pPr>
      <w:r>
        <w:rPr>
          <w:rFonts w:hint="default" w:ascii="黑体" w:hAnsi="黑体" w:eastAsia="黑体" w:cs="Times New Roman"/>
          <w:color w:val="auto"/>
          <w:sz w:val="21"/>
          <w:highlight w:val="none"/>
          <w:lang w:val="en-US" w:eastAsia="zh-CN" w:bidi="ar-SA"/>
        </w:rPr>
        <w:t>留样</w:t>
      </w:r>
    </w:p>
    <w:p w14:paraId="64C0BF6C">
      <w:pPr>
        <w:pStyle w:val="57"/>
        <w:rPr>
          <w:rFonts w:hint="eastAsia"/>
          <w:color w:val="auto"/>
          <w:lang w:val="en-US" w:eastAsia="zh-CN"/>
        </w:rPr>
      </w:pPr>
      <w:r>
        <w:rPr>
          <w:rFonts w:hint="eastAsia"/>
          <w:color w:val="auto"/>
          <w:lang w:val="en-US" w:eastAsia="zh-CN"/>
        </w:rPr>
        <w:t>超过100人的团体订餐，外卖餐品提供者应对提供的餐品进行留样。留样程序按照GB 31654要求执行。</w:t>
      </w:r>
    </w:p>
    <w:p w14:paraId="14F395CF">
      <w:pPr>
        <w:pStyle w:val="105"/>
        <w:spacing w:before="312" w:after="312"/>
        <w:rPr>
          <w:rFonts w:hint="eastAsia"/>
          <w:color w:val="auto"/>
          <w:highlight w:val="none"/>
          <w:lang w:eastAsia="zh-CN"/>
        </w:rPr>
      </w:pPr>
      <w:bookmarkStart w:id="34" w:name="_Toc29502"/>
      <w:r>
        <w:rPr>
          <w:rFonts w:hint="eastAsia"/>
          <w:color w:val="auto"/>
          <w:highlight w:val="none"/>
          <w:lang w:eastAsia="zh-CN"/>
        </w:rPr>
        <w:t>外卖</w:t>
      </w:r>
      <w:r>
        <w:rPr>
          <w:rFonts w:hint="eastAsia"/>
          <w:color w:val="auto"/>
          <w:highlight w:val="none"/>
        </w:rPr>
        <w:t>平台</w:t>
      </w:r>
      <w:bookmarkEnd w:id="34"/>
    </w:p>
    <w:p w14:paraId="4A30BD38">
      <w:pPr>
        <w:pStyle w:val="224"/>
        <w:rPr>
          <w:rFonts w:hint="eastAsia" w:eastAsia="宋体"/>
          <w:color w:val="auto"/>
          <w:highlight w:val="none"/>
          <w:lang w:eastAsia="zh-CN"/>
        </w:rPr>
      </w:pPr>
      <w:r>
        <w:rPr>
          <w:rFonts w:hint="eastAsia"/>
          <w:color w:val="auto"/>
          <w:highlight w:val="none"/>
          <w:lang w:val="en-US" w:eastAsia="zh-CN"/>
        </w:rPr>
        <w:t>外卖平台对商户的食品安全管理责任应符合GB/T 46862相关规定。</w:t>
      </w:r>
    </w:p>
    <w:p w14:paraId="3A2B1169">
      <w:pPr>
        <w:pStyle w:val="224"/>
        <w:rPr>
          <w:rFonts w:hint="eastAsia"/>
          <w:color w:val="auto"/>
          <w:highlight w:val="none"/>
          <w:lang w:eastAsia="zh-CN"/>
        </w:rPr>
      </w:pPr>
      <w:r>
        <w:rPr>
          <w:rFonts w:hint="eastAsia" w:cs="Times New Roman"/>
          <w:color w:val="auto"/>
          <w:sz w:val="21"/>
          <w:highlight w:val="none"/>
          <w:lang w:val="en-US" w:eastAsia="zh-CN" w:bidi="ar-SA"/>
        </w:rPr>
        <w:t>外卖</w:t>
      </w:r>
      <w:r>
        <w:rPr>
          <w:rFonts w:hint="eastAsia" w:ascii="宋体" w:hAnsi="Times New Roman" w:eastAsia="宋体" w:cs="Times New Roman"/>
          <w:color w:val="auto"/>
          <w:sz w:val="21"/>
          <w:highlight w:val="none"/>
          <w:lang w:val="en-US" w:eastAsia="zh-CN" w:bidi="ar-SA"/>
        </w:rPr>
        <w:t>平台应建立高风险商户识别模型，对主营生食水产品、冷荤凉菜、裱花蛋糕等高风险餐品的商户，以及客诉集中、差评率高的商户进行重点标记。</w:t>
      </w:r>
    </w:p>
    <w:p w14:paraId="1A22EF70">
      <w:pPr>
        <w:pStyle w:val="224"/>
        <w:rPr>
          <w:rFonts w:hint="eastAsia"/>
          <w:color w:val="auto"/>
          <w:highlight w:val="none"/>
          <w:lang w:eastAsia="zh-CN"/>
        </w:rPr>
      </w:pPr>
      <w:r>
        <w:rPr>
          <w:rFonts w:hint="eastAsia" w:eastAsia="宋体"/>
          <w:color w:val="auto"/>
          <w:highlight w:val="none"/>
          <w:lang w:eastAsia="zh-CN"/>
        </w:rPr>
        <w:t>外卖</w:t>
      </w:r>
      <w:r>
        <w:rPr>
          <w:rFonts w:hint="eastAsia" w:hAnsi="宋体"/>
          <w:color w:val="auto"/>
          <w:highlight w:val="none"/>
        </w:rPr>
        <w:t>平台在确定并展示订单“预计送达时间”时，除考虑配送距离、路况等因素外，</w:t>
      </w:r>
      <w:r>
        <w:rPr>
          <w:rFonts w:hint="eastAsia" w:hAnsi="宋体"/>
          <w:color w:val="auto"/>
          <w:highlight w:val="none"/>
          <w:lang w:eastAsia="zh-CN"/>
        </w:rPr>
        <w:t>应</w:t>
      </w:r>
      <w:r>
        <w:rPr>
          <w:rFonts w:hint="eastAsia" w:hAnsi="宋体"/>
          <w:color w:val="auto"/>
          <w:highlight w:val="none"/>
        </w:rPr>
        <w:t>将餐品的安全食用时限作为核心评估因素</w:t>
      </w:r>
      <w:r>
        <w:rPr>
          <w:rFonts w:hint="eastAsia" w:hAnsi="宋体"/>
          <w:color w:val="auto"/>
          <w:highlight w:val="none"/>
          <w:lang w:eastAsia="zh-CN"/>
        </w:rPr>
        <w:t>，</w:t>
      </w:r>
      <w:r>
        <w:rPr>
          <w:rFonts w:hint="eastAsia" w:hAnsi="宋体"/>
          <w:color w:val="auto"/>
          <w:highlight w:val="none"/>
        </w:rPr>
        <w:t>对沙拉、冷食等易腐食品自动匹配更短的配送时限。</w:t>
      </w:r>
    </w:p>
    <w:p w14:paraId="7EF0139E">
      <w:pPr>
        <w:pStyle w:val="224"/>
        <w:rPr>
          <w:rFonts w:hint="eastAsia"/>
          <w:color w:val="auto"/>
          <w:highlight w:val="none"/>
          <w:lang w:eastAsia="zh-CN"/>
        </w:rPr>
      </w:pPr>
      <w:r>
        <w:rPr>
          <w:rFonts w:hint="eastAsia" w:eastAsia="宋体"/>
          <w:color w:val="auto"/>
          <w:highlight w:val="none"/>
          <w:lang w:eastAsia="zh-CN"/>
        </w:rPr>
        <w:t>外卖</w:t>
      </w:r>
      <w:r>
        <w:rPr>
          <w:rFonts w:hint="eastAsia" w:hAnsi="宋体"/>
          <w:color w:val="auto"/>
          <w:highlight w:val="none"/>
        </w:rPr>
        <w:t>平台</w:t>
      </w:r>
      <w:r>
        <w:rPr>
          <w:rFonts w:hint="eastAsia"/>
          <w:color w:val="auto"/>
          <w:highlight w:val="none"/>
        </w:rPr>
        <w:t>应</w:t>
      </w:r>
      <w:r>
        <w:rPr>
          <w:rFonts w:hint="eastAsia" w:hAnsi="宋体"/>
          <w:color w:val="auto"/>
        </w:rPr>
        <w:t>在信息查询、交易数据提取、停止交易服务等方面为市场监管部门提供必要的技术支持</w:t>
      </w:r>
      <w:r>
        <w:rPr>
          <w:rFonts w:hint="eastAsia"/>
          <w:color w:val="auto"/>
          <w:highlight w:val="none"/>
        </w:rPr>
        <w:t>。</w:t>
      </w:r>
    </w:p>
    <w:p w14:paraId="050C5576">
      <w:pPr>
        <w:pStyle w:val="105"/>
        <w:spacing w:before="312" w:after="312"/>
        <w:rPr>
          <w:rFonts w:hint="eastAsia"/>
          <w:color w:val="auto"/>
          <w:highlight w:val="none"/>
          <w:lang w:eastAsia="zh-CN"/>
        </w:rPr>
      </w:pPr>
      <w:r>
        <w:rPr>
          <w:rFonts w:hint="eastAsia"/>
          <w:color w:val="auto"/>
          <w:highlight w:val="none"/>
          <w:lang w:eastAsia="zh-CN"/>
        </w:rPr>
        <w:t>配送服务商</w:t>
      </w:r>
    </w:p>
    <w:p w14:paraId="2985087A">
      <w:pPr>
        <w:pStyle w:val="224"/>
        <w:rPr>
          <w:rFonts w:hint="eastAsia" w:ascii="宋体" w:hAnsi="Times New Roman" w:eastAsia="宋体" w:cs="Times New Roman"/>
          <w:color w:val="auto"/>
          <w:kern w:val="0"/>
          <w:sz w:val="21"/>
          <w:szCs w:val="20"/>
          <w:lang w:val="en-US" w:eastAsia="zh-CN" w:bidi="ar-SA"/>
        </w:rPr>
      </w:pPr>
      <w:r>
        <w:rPr>
          <w:rFonts w:hint="eastAsia" w:ascii="宋体" w:hAnsi="Times New Roman" w:eastAsia="宋体" w:cs="Times New Roman"/>
          <w:color w:val="auto"/>
          <w:kern w:val="0"/>
          <w:sz w:val="21"/>
          <w:szCs w:val="20"/>
          <w:lang w:val="en-US" w:eastAsia="zh-CN" w:bidi="ar-SA"/>
        </w:rPr>
        <w:t>第三方配送服务商应设置固定办公场所，配备相应的人员与配送设备。</w:t>
      </w:r>
    </w:p>
    <w:p w14:paraId="0692C42B">
      <w:pPr>
        <w:pStyle w:val="224"/>
        <w:rPr>
          <w:rFonts w:hint="eastAsia" w:ascii="宋体" w:hAnsi="Times New Roman" w:eastAsia="宋体" w:cs="Times New Roman"/>
          <w:color w:val="auto"/>
          <w:kern w:val="0"/>
          <w:sz w:val="21"/>
          <w:szCs w:val="20"/>
          <w:lang w:val="en-US" w:eastAsia="zh-CN" w:bidi="ar-SA"/>
        </w:rPr>
      </w:pPr>
      <w:r>
        <w:rPr>
          <w:rFonts w:hint="eastAsia" w:ascii="宋体" w:hAnsi="Times New Roman" w:eastAsia="宋体" w:cs="Times New Roman"/>
          <w:color w:val="auto"/>
          <w:kern w:val="0"/>
          <w:sz w:val="21"/>
          <w:szCs w:val="20"/>
          <w:lang w:val="en-US" w:eastAsia="zh-CN" w:bidi="ar-SA"/>
        </w:rPr>
        <w:t>第三方配送服务商在录用配送员时应进行身份审核。</w:t>
      </w:r>
    </w:p>
    <w:p w14:paraId="15F9DD34">
      <w:pPr>
        <w:pStyle w:val="224"/>
        <w:rPr>
          <w:rFonts w:hint="eastAsia" w:ascii="宋体" w:hAnsi="Times New Roman" w:eastAsia="宋体" w:cs="Times New Roman"/>
          <w:color w:val="auto"/>
          <w:kern w:val="0"/>
          <w:sz w:val="21"/>
          <w:szCs w:val="20"/>
          <w:lang w:val="en-US" w:eastAsia="zh-CN" w:bidi="ar-SA"/>
        </w:rPr>
      </w:pPr>
      <w:r>
        <w:rPr>
          <w:rFonts w:hint="eastAsia" w:ascii="宋体" w:hAnsi="Times New Roman" w:eastAsia="宋体" w:cs="Times New Roman"/>
          <w:color w:val="auto"/>
          <w:kern w:val="0"/>
          <w:sz w:val="21"/>
          <w:szCs w:val="20"/>
          <w:lang w:val="en-US" w:eastAsia="zh-CN" w:bidi="ar-SA"/>
        </w:rPr>
        <w:t>第三方配送服务商应建立并及时更新配送人员档案，记录并留存专（兼）职配送人员身份、健康状况、食品安全培训考核情况、上岗工作情况等信息，宜采用信息化系统管理方式。</w:t>
      </w:r>
    </w:p>
    <w:p w14:paraId="33673B55">
      <w:pPr>
        <w:pStyle w:val="224"/>
        <w:rPr>
          <w:rFonts w:hint="eastAsia"/>
          <w:color w:val="auto"/>
          <w:lang w:val="en-US" w:eastAsia="zh-CN"/>
        </w:rPr>
      </w:pPr>
      <w:r>
        <w:rPr>
          <w:rFonts w:hint="eastAsia" w:ascii="宋体" w:hAnsi="Times New Roman" w:eastAsia="宋体" w:cs="Times New Roman"/>
          <w:color w:val="auto"/>
          <w:kern w:val="0"/>
          <w:sz w:val="21"/>
          <w:szCs w:val="20"/>
          <w:lang w:val="en-US" w:eastAsia="zh-CN" w:bidi="ar-SA"/>
        </w:rPr>
        <w:t>商户自行配送的，应具备与配送规模相匹配的配送管理能力和资质，督促配送员保持个人卫生，配送过程中着装整洁，并参照 GB/T 46862 进行管理。针对餐品客诉率、差评率高于行业平均水平的商户，应制定可量化的整改方案，整改完成前应采取降低配送范围、缩减配送单量等管控措施。</w:t>
      </w:r>
    </w:p>
    <w:p w14:paraId="35A2C8E1">
      <w:pPr>
        <w:pStyle w:val="105"/>
        <w:spacing w:before="312" w:after="312"/>
        <w:ind w:left="0" w:firstLine="0"/>
        <w:rPr>
          <w:color w:val="auto"/>
          <w:highlight w:val="none"/>
        </w:rPr>
      </w:pPr>
      <w:bookmarkStart w:id="35" w:name="_Toc17100"/>
      <w:bookmarkStart w:id="36" w:name="_Toc26631"/>
      <w:r>
        <w:rPr>
          <w:rFonts w:hint="eastAsia"/>
          <w:color w:val="auto"/>
          <w:highlight w:val="none"/>
        </w:rPr>
        <w:t>配送</w:t>
      </w:r>
      <w:r>
        <w:rPr>
          <w:rFonts w:hint="eastAsia"/>
          <w:color w:val="auto"/>
          <w:highlight w:val="none"/>
          <w:lang w:eastAsia="zh-CN"/>
        </w:rPr>
        <w:t>员与设施设备</w:t>
      </w:r>
      <w:bookmarkEnd w:id="35"/>
    </w:p>
    <w:p w14:paraId="3108DE65">
      <w:pPr>
        <w:pStyle w:val="224"/>
        <w:spacing w:before="156" w:beforeLines="50" w:after="156" w:afterLines="50"/>
        <w:ind w:left="0" w:firstLine="0"/>
        <w:rPr>
          <w:rFonts w:ascii="黑体" w:hAnsi="黑体" w:eastAsia="黑体"/>
          <w:color w:val="auto"/>
          <w:highlight w:val="none"/>
        </w:rPr>
      </w:pPr>
      <w:r>
        <w:rPr>
          <w:rFonts w:hint="eastAsia" w:ascii="黑体" w:hAnsi="黑体" w:eastAsia="黑体"/>
          <w:color w:val="auto"/>
          <w:highlight w:val="none"/>
        </w:rPr>
        <w:t>配送</w:t>
      </w:r>
      <w:r>
        <w:rPr>
          <w:rFonts w:hint="eastAsia" w:ascii="黑体" w:hAnsi="黑体" w:eastAsia="黑体"/>
          <w:color w:val="auto"/>
          <w:highlight w:val="none"/>
          <w:lang w:eastAsia="zh-CN"/>
        </w:rPr>
        <w:t>员</w:t>
      </w:r>
    </w:p>
    <w:p w14:paraId="472D26C2">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Segoe UI" w:hAnsi="Segoe UI" w:eastAsia="Segoe UI" w:cs="Segoe UI"/>
          <w:i w:val="0"/>
          <w:iCs w:val="0"/>
          <w:caps w:val="0"/>
          <w:color w:val="auto"/>
          <w:spacing w:val="0"/>
          <w:sz w:val="21"/>
          <w:szCs w:val="21"/>
          <w:highlight w:val="none"/>
          <w:shd w:val="clear" w:fill="FFFFFF"/>
          <w:lang w:val="en-US" w:eastAsia="zh-CN" w:bidi="ar-SA"/>
        </w:rPr>
      </w:pPr>
      <w:r>
        <w:rPr>
          <w:rFonts w:hint="eastAsia" w:ascii="Segoe UI" w:hAnsi="Segoe UI" w:eastAsia="Segoe UI" w:cs="Segoe UI"/>
          <w:i w:val="0"/>
          <w:iCs w:val="0"/>
          <w:caps w:val="0"/>
          <w:color w:val="auto"/>
          <w:spacing w:val="0"/>
          <w:sz w:val="21"/>
          <w:szCs w:val="21"/>
          <w:highlight w:val="none"/>
          <w:shd w:val="clear" w:fill="FFFFFF"/>
          <w:lang w:val="en-US" w:eastAsia="zh-CN" w:bidi="ar-SA"/>
        </w:rPr>
        <w:t>配送员管理及权益保障应符合</w:t>
      </w:r>
      <w:r>
        <w:rPr>
          <w:rFonts w:hint="eastAsia" w:ascii="宋体" w:hAnsi="宋体" w:eastAsia="宋体" w:cs="宋体"/>
          <w:i w:val="0"/>
          <w:iCs w:val="0"/>
          <w:caps w:val="0"/>
          <w:color w:val="auto"/>
          <w:spacing w:val="0"/>
          <w:sz w:val="21"/>
          <w:szCs w:val="21"/>
          <w:highlight w:val="none"/>
          <w:shd w:val="clear" w:fill="FFFFFF"/>
          <w:lang w:val="en-US" w:eastAsia="zh-CN" w:bidi="ar-SA"/>
        </w:rPr>
        <w:t>GB/T 46862</w:t>
      </w:r>
      <w:r>
        <w:rPr>
          <w:rFonts w:hint="eastAsia" w:ascii="Segoe UI" w:hAnsi="Segoe UI" w:eastAsia="Segoe UI" w:cs="Segoe UI"/>
          <w:i w:val="0"/>
          <w:iCs w:val="0"/>
          <w:caps w:val="0"/>
          <w:color w:val="auto"/>
          <w:spacing w:val="0"/>
          <w:sz w:val="21"/>
          <w:szCs w:val="21"/>
          <w:highlight w:val="none"/>
          <w:shd w:val="clear" w:fill="FFFFFF"/>
          <w:lang w:val="en-US" w:eastAsia="zh-CN" w:bidi="ar-SA"/>
        </w:rPr>
        <w:t>的相关要求。</w:t>
      </w:r>
    </w:p>
    <w:p w14:paraId="76858D12">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Segoe UI" w:hAnsi="Segoe UI" w:eastAsia="Segoe UI" w:cs="Segoe UI"/>
          <w:i w:val="0"/>
          <w:iCs w:val="0"/>
          <w:caps w:val="0"/>
          <w:color w:val="auto"/>
          <w:spacing w:val="0"/>
          <w:sz w:val="21"/>
          <w:szCs w:val="21"/>
          <w:highlight w:val="none"/>
          <w:shd w:val="clear" w:fill="FFFFFF"/>
          <w:lang w:val="en-US" w:eastAsia="zh-CN" w:bidi="ar-SA"/>
        </w:rPr>
      </w:pPr>
      <w:r>
        <w:rPr>
          <w:rFonts w:hint="eastAsia" w:ascii="宋体" w:hAnsi="Times New Roman" w:eastAsia="宋体" w:cs="Times New Roman"/>
          <w:color w:val="auto"/>
          <w:kern w:val="0"/>
          <w:sz w:val="21"/>
          <w:szCs w:val="20"/>
          <w:lang w:val="en-US" w:eastAsia="zh-CN" w:bidi="ar-SA"/>
        </w:rPr>
        <w:t>患有霍乱，细菌性和阿米巴性痢疾，伤寒和副伤寒，病毒性肝炎(甲型，戊型)，活动性肺结核化脓性或渗出性皮肤病等国务院卫生行政部门规定的有碍食品安全疾病的人员，应立即停止配送服务。</w:t>
      </w:r>
    </w:p>
    <w:p w14:paraId="39CF4041">
      <w:pPr>
        <w:pStyle w:val="224"/>
        <w:spacing w:before="156" w:beforeLines="50" w:after="156" w:afterLines="50"/>
        <w:ind w:left="0" w:firstLine="0"/>
        <w:rPr>
          <w:rFonts w:ascii="黑体" w:hAnsi="黑体" w:eastAsia="黑体"/>
          <w:color w:val="auto"/>
          <w:highlight w:val="none"/>
        </w:rPr>
      </w:pPr>
      <w:r>
        <w:rPr>
          <w:rFonts w:hint="eastAsia" w:ascii="黑体" w:hAnsi="黑体" w:eastAsia="黑体"/>
          <w:color w:val="auto"/>
          <w:highlight w:val="none"/>
        </w:rPr>
        <w:t>配送</w:t>
      </w:r>
      <w:r>
        <w:rPr>
          <w:rFonts w:hint="eastAsia" w:ascii="黑体" w:hAnsi="黑体" w:eastAsia="黑体"/>
          <w:color w:val="auto"/>
          <w:highlight w:val="none"/>
          <w:lang w:eastAsia="zh-CN"/>
        </w:rPr>
        <w:t>设备</w:t>
      </w:r>
    </w:p>
    <w:p w14:paraId="2B7D8076">
      <w:pPr>
        <w:widowControl w:val="0"/>
        <w:numPr>
          <w:ilvl w:val="3"/>
          <w:numId w:val="2"/>
        </w:numPr>
        <w:spacing w:before="156" w:beforeLines="50" w:after="156" w:afterLines="50"/>
        <w:ind w:left="0" w:firstLine="0"/>
        <w:jc w:val="both"/>
        <w:outlineLvl w:val="2"/>
        <w:rPr>
          <w:rFonts w:hint="eastAsia"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配送车辆</w:t>
      </w:r>
    </w:p>
    <w:p w14:paraId="089B7C3B">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配送</w:t>
      </w:r>
      <w:r>
        <w:rPr>
          <w:rFonts w:hint="eastAsia" w:ascii="宋体" w:hAnsi="Times New Roman" w:eastAsia="宋体" w:cs="Times New Roman"/>
          <w:color w:val="auto"/>
          <w:sz w:val="21"/>
          <w:highlight w:val="none"/>
          <w:lang w:val="en-US" w:eastAsia="zh-CN" w:bidi="ar-SA"/>
        </w:rPr>
        <w:t>车辆</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应保持干净、整洁、无异味。</w:t>
      </w:r>
    </w:p>
    <w:p w14:paraId="7320BF21">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配送车辆应符合服务所在地相关行政主管部门的规定。配送用电动自行车应符合GB 17761的要求。</w:t>
      </w:r>
    </w:p>
    <w:p w14:paraId="397AD337">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应建立配送车辆合规性审核机制，并组织配送员签署用车安全须知确认函</w:t>
      </w:r>
      <w:r>
        <w:rPr>
          <w:rFonts w:hint="eastAsia" w:ascii="宋体" w:hAnsi="Times New Roman" w:cs="Times New Roman"/>
          <w:i w:val="0"/>
          <w:iCs w:val="0"/>
          <w:caps w:val="0"/>
          <w:color w:val="auto"/>
          <w:spacing w:val="0"/>
          <w:sz w:val="21"/>
          <w:szCs w:val="20"/>
          <w:highlight w:val="none"/>
          <w:shd w:val="clear" w:fill="auto"/>
          <w:lang w:val="en-US" w:eastAsia="zh-CN" w:bidi="ar-SA"/>
        </w:rPr>
        <w:t>。</w:t>
      </w:r>
    </w:p>
    <w:p w14:paraId="7C2F97FB">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应确保配送车辆符合行业保险理赔用车标准，定期核验车辆资质有效性，保障配送过程中的安全事故理赔权益。</w:t>
      </w:r>
    </w:p>
    <w:p w14:paraId="7C468040">
      <w:pPr>
        <w:widowControl w:val="0"/>
        <w:numPr>
          <w:ilvl w:val="3"/>
          <w:numId w:val="2"/>
        </w:numPr>
        <w:spacing w:before="156" w:beforeLines="50" w:after="156" w:afterLines="50"/>
        <w:ind w:left="0" w:firstLine="0"/>
        <w:jc w:val="both"/>
        <w:outlineLvl w:val="2"/>
        <w:rPr>
          <w:rFonts w:hint="eastAsia"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配送箱（包）</w:t>
      </w:r>
    </w:p>
    <w:p w14:paraId="028F74AB">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color w:val="auto"/>
          <w:szCs w:val="21"/>
        </w:rPr>
        <w:t>配送箱</w:t>
      </w:r>
      <w:r>
        <w:rPr>
          <w:rFonts w:hint="eastAsia"/>
          <w:color w:val="auto"/>
          <w:szCs w:val="21"/>
          <w:lang w:eastAsia="zh-CN"/>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包</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color w:val="auto"/>
          <w:szCs w:val="21"/>
        </w:rPr>
        <w:t>应选用对</w:t>
      </w:r>
      <w:r>
        <w:rPr>
          <w:color w:val="auto"/>
          <w:szCs w:val="21"/>
        </w:rPr>
        <w:t>人体</w:t>
      </w:r>
      <w:r>
        <w:rPr>
          <w:rFonts w:hint="eastAsia"/>
          <w:color w:val="auto"/>
          <w:szCs w:val="21"/>
        </w:rPr>
        <w:t>无毒</w:t>
      </w:r>
      <w:r>
        <w:rPr>
          <w:color w:val="auto"/>
          <w:szCs w:val="21"/>
        </w:rPr>
        <w:t>无害</w:t>
      </w:r>
      <w:r>
        <w:rPr>
          <w:rFonts w:hint="eastAsia"/>
          <w:color w:val="auto"/>
          <w:szCs w:val="21"/>
        </w:rPr>
        <w:t>的</w:t>
      </w:r>
      <w:r>
        <w:rPr>
          <w:color w:val="auto"/>
          <w:szCs w:val="21"/>
        </w:rPr>
        <w:t>材料</w:t>
      </w:r>
      <w:r>
        <w:rPr>
          <w:rFonts w:hint="eastAsia"/>
          <w:color w:val="auto"/>
          <w:szCs w:val="21"/>
        </w:rPr>
        <w:t>，应具有保温性、气密性和减震缓冲特性，易于运输和携带，能防油</w:t>
      </w:r>
      <w:r>
        <w:rPr>
          <w:color w:val="auto"/>
          <w:szCs w:val="21"/>
        </w:rPr>
        <w:t>、</w:t>
      </w:r>
      <w:r>
        <w:rPr>
          <w:rFonts w:hint="eastAsia"/>
          <w:color w:val="auto"/>
          <w:szCs w:val="21"/>
        </w:rPr>
        <w:t>防尘、防水。</w:t>
      </w:r>
    </w:p>
    <w:p w14:paraId="678F2908">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配送箱</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包</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color w:val="auto"/>
          <w:szCs w:val="21"/>
        </w:rPr>
        <w:t>应保持干净、整洁、无异味，并定期消毒</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w:t>
      </w:r>
    </w:p>
    <w:p w14:paraId="1FF80505">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color w:val="auto"/>
          <w:kern w:val="0"/>
          <w:sz w:val="21"/>
          <w:szCs w:val="20"/>
          <w:lang w:val="en-US" w:eastAsia="zh-CN" w:bidi="ar-SA"/>
        </w:rPr>
      </w:pPr>
      <w:r>
        <w:rPr>
          <w:rFonts w:hint="eastAsia" w:ascii="宋体" w:hAnsi="Times New Roman" w:eastAsia="宋体" w:cs="Times New Roman"/>
          <w:color w:val="auto"/>
          <w:kern w:val="0"/>
          <w:sz w:val="21"/>
          <w:szCs w:val="20"/>
          <w:lang w:val="en-US" w:eastAsia="zh-CN" w:bidi="ar-SA"/>
        </w:rPr>
        <w:t>应根据餐品特性（如热食、冷食、冷冻食品等）配备必要的保温、冷藏或冷冻设备，确保食品在配送过程中处于安全的温度环境。热食配送应保持在60 ℃以上，冷食保持在8 ℃度以下，配送时间超过1小时的，应配置连续温度记录装置。</w:t>
      </w:r>
    </w:p>
    <w:p w14:paraId="3D24E16F">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cs="Times New Roman"/>
          <w:i w:val="0"/>
          <w:iCs w:val="0"/>
          <w:caps w:val="0"/>
          <w:color w:val="auto"/>
          <w:spacing w:val="0"/>
          <w:sz w:val="21"/>
          <w:szCs w:val="20"/>
          <w:highlight w:val="none"/>
          <w:shd w:val="clear" w:fill="auto"/>
          <w:lang w:val="en-US" w:eastAsia="zh-CN" w:bidi="ar-SA"/>
        </w:rPr>
        <w:t>配送时，配送员</w:t>
      </w:r>
      <w:r>
        <w:rPr>
          <w:rFonts w:hint="eastAsia"/>
          <w:color w:val="auto"/>
          <w:szCs w:val="21"/>
        </w:rPr>
        <w:t>应仔细检查配送箱</w:t>
      </w:r>
      <w:r>
        <w:rPr>
          <w:rFonts w:hint="eastAsia"/>
          <w:color w:val="auto"/>
          <w:szCs w:val="21"/>
          <w:lang w:eastAsia="zh-CN"/>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包</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color w:val="auto"/>
          <w:szCs w:val="21"/>
        </w:rPr>
        <w:t>清洁和完整状态，</w:t>
      </w:r>
      <w:r>
        <w:rPr>
          <w:rFonts w:hint="eastAsia"/>
          <w:color w:val="auto"/>
          <w:szCs w:val="21"/>
          <w:lang w:eastAsia="zh-CN"/>
        </w:rPr>
        <w:t>发现</w:t>
      </w:r>
      <w:r>
        <w:rPr>
          <w:color w:val="auto"/>
          <w:szCs w:val="21"/>
        </w:rPr>
        <w:t>配送箱</w:t>
      </w:r>
      <w:r>
        <w:rPr>
          <w:rFonts w:hint="eastAsia"/>
          <w:color w:val="auto"/>
          <w:szCs w:val="21"/>
          <w:lang w:eastAsia="zh-CN"/>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包</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color w:val="auto"/>
          <w:szCs w:val="21"/>
        </w:rPr>
        <w:t>破损</w:t>
      </w:r>
      <w:r>
        <w:rPr>
          <w:color w:val="auto"/>
          <w:szCs w:val="21"/>
        </w:rPr>
        <w:t>应及时更换。</w:t>
      </w:r>
    </w:p>
    <w:p w14:paraId="6361B229">
      <w:pPr>
        <w:widowControl w:val="0"/>
        <w:numPr>
          <w:ilvl w:val="3"/>
          <w:numId w:val="2"/>
        </w:numPr>
        <w:spacing w:before="156" w:beforeLines="50" w:after="156" w:afterLines="50"/>
        <w:ind w:left="0" w:firstLine="0"/>
        <w:jc w:val="both"/>
        <w:outlineLvl w:val="2"/>
        <w:rPr>
          <w:rFonts w:hint="eastAsia"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智慧配送设备</w:t>
      </w:r>
    </w:p>
    <w:p w14:paraId="020DA78C">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cs="Times New Roman"/>
          <w:i w:val="0"/>
          <w:iCs w:val="0"/>
          <w:caps w:val="0"/>
          <w:color w:val="auto"/>
          <w:spacing w:val="0"/>
          <w:sz w:val="21"/>
          <w:szCs w:val="20"/>
          <w:highlight w:val="none"/>
          <w:shd w:val="clear" w:fill="auto"/>
          <w:lang w:val="en-US" w:eastAsia="zh-CN" w:bidi="ar-SA"/>
        </w:rPr>
        <w:t>智慧配送设备</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中直接或间接接触食品的部件，材质应符合GB 4806系列标准要求，对人体安全无害，无异味、无有毒有害物质迁移风险。</w:t>
      </w:r>
    </w:p>
    <w:p w14:paraId="2B662A3A">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智慧配送设备材质应坚固耐用、防水防锈、易清洁、易维护，表面无凹陷、毛刺、锈斑等缺陷，避免藏污纳垢。</w:t>
      </w:r>
    </w:p>
    <w:p w14:paraId="231EFC00">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智慧配送设备的食品存放区域应</w:t>
      </w:r>
      <w:r>
        <w:rPr>
          <w:rFonts w:hint="eastAsia" w:ascii="宋体" w:hAnsi="Times New Roman" w:cs="Times New Roman"/>
          <w:i w:val="0"/>
          <w:iCs w:val="0"/>
          <w:caps w:val="0"/>
          <w:color w:val="auto"/>
          <w:spacing w:val="0"/>
          <w:sz w:val="21"/>
          <w:szCs w:val="20"/>
          <w:highlight w:val="none"/>
          <w:shd w:val="clear" w:fill="auto"/>
          <w:lang w:val="en-US" w:eastAsia="zh-CN" w:bidi="ar-SA"/>
        </w:rPr>
        <w:t>定期</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消毒，消毒参数应符合GB 27952要求。</w:t>
      </w:r>
    </w:p>
    <w:p w14:paraId="224A1BE6">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智慧配送设备应具备视频监控功能，覆盖食品存取关键区域，监控数据保存时间不少于30天。</w:t>
      </w:r>
    </w:p>
    <w:p w14:paraId="2ED3ECA9">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智慧配送设备配送过程</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如急加速、急减速、转弯等</w:t>
      </w:r>
      <w:r>
        <w:rPr>
          <w:rFonts w:hint="eastAsia" w:ascii="宋体" w:hAnsi="Times New Roman" w:cs="Times New Roman"/>
          <w:i w:val="0"/>
          <w:iCs w:val="0"/>
          <w:caps w:val="0"/>
          <w:color w:val="auto"/>
          <w:spacing w:val="0"/>
          <w:sz w:val="21"/>
          <w:szCs w:val="20"/>
          <w:highlight w:val="none"/>
          <w:shd w:val="clear" w:fill="auto"/>
          <w:lang w:val="en-US" w:eastAsia="zh-CN" w:bidi="ar-SA"/>
        </w:rPr>
        <w:t>）</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中</w:t>
      </w:r>
      <w:r>
        <w:rPr>
          <w:rFonts w:hint="eastAsia" w:ascii="宋体" w:hAnsi="Times New Roman" w:cs="Times New Roman"/>
          <w:i w:val="0"/>
          <w:iCs w:val="0"/>
          <w:caps w:val="0"/>
          <w:color w:val="auto"/>
          <w:spacing w:val="0"/>
          <w:sz w:val="21"/>
          <w:szCs w:val="20"/>
          <w:highlight w:val="none"/>
          <w:shd w:val="clear" w:fill="auto"/>
          <w:lang w:val="en-US" w:eastAsia="zh-CN" w:bidi="ar-SA"/>
        </w:rPr>
        <w:t>应</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保证载物箱体内</w:t>
      </w:r>
      <w:r>
        <w:rPr>
          <w:rFonts w:hint="eastAsia" w:ascii="宋体" w:hAnsi="Times New Roman" w:cs="Times New Roman"/>
          <w:i w:val="0"/>
          <w:iCs w:val="0"/>
          <w:caps w:val="0"/>
          <w:color w:val="auto"/>
          <w:spacing w:val="0"/>
          <w:sz w:val="21"/>
          <w:szCs w:val="20"/>
          <w:highlight w:val="none"/>
          <w:shd w:val="clear" w:fill="auto"/>
          <w:lang w:val="en-US" w:eastAsia="zh-CN" w:bidi="ar-SA"/>
        </w:rPr>
        <w:t>餐</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品不发生</w:t>
      </w:r>
      <w:r>
        <w:rPr>
          <w:rFonts w:hint="eastAsia" w:ascii="宋体" w:hAnsi="Times New Roman" w:cs="Times New Roman"/>
          <w:i w:val="0"/>
          <w:iCs w:val="0"/>
          <w:caps w:val="0"/>
          <w:color w:val="auto"/>
          <w:spacing w:val="0"/>
          <w:sz w:val="21"/>
          <w:szCs w:val="20"/>
          <w:highlight w:val="none"/>
          <w:shd w:val="clear" w:fill="auto"/>
          <w:lang w:val="en-US" w:eastAsia="zh-CN" w:bidi="ar-SA"/>
        </w:rPr>
        <w:t>倾倒</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等情况。</w:t>
      </w:r>
    </w:p>
    <w:p w14:paraId="15548DA4">
      <w:pPr>
        <w:pStyle w:val="224"/>
        <w:spacing w:before="156" w:beforeLines="50" w:after="156" w:afterLines="50"/>
        <w:ind w:left="0" w:firstLine="0"/>
        <w:rPr>
          <w:rFonts w:hint="eastAsia" w:ascii="黑体" w:hAnsi="黑体" w:eastAsia="黑体"/>
          <w:color w:val="auto"/>
          <w:highlight w:val="none"/>
          <w:lang w:eastAsia="zh-CN"/>
        </w:rPr>
      </w:pPr>
      <w:r>
        <w:rPr>
          <w:rFonts w:hint="eastAsia" w:ascii="黑体" w:hAnsi="黑体" w:eastAsia="黑体"/>
          <w:color w:val="auto"/>
          <w:highlight w:val="none"/>
          <w:lang w:eastAsia="zh-CN"/>
        </w:rPr>
        <w:t>配送设施</w:t>
      </w:r>
    </w:p>
    <w:p w14:paraId="1229CA42">
      <w:pPr>
        <w:widowControl w:val="0"/>
        <w:numPr>
          <w:ilvl w:val="3"/>
          <w:numId w:val="2"/>
        </w:numPr>
        <w:spacing w:before="156" w:beforeLines="50" w:after="156" w:afterLines="50"/>
        <w:ind w:left="0" w:firstLine="0"/>
        <w:jc w:val="both"/>
        <w:outlineLvl w:val="2"/>
        <w:rPr>
          <w:rFonts w:hint="eastAsia"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智能取餐柜</w:t>
      </w:r>
    </w:p>
    <w:p w14:paraId="5E8FE865">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智能取餐柜各格口应配备照明灯、设置透明视窗。</w:t>
      </w:r>
    </w:p>
    <w:p w14:paraId="4568472F">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智能取餐柜周围宜设置视频监控。</w:t>
      </w:r>
    </w:p>
    <w:p w14:paraId="4978015B">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智能取餐柜应保持良好卫生状况，无污渍、异味，发现污染后应及时清洁，定期消毒。有毒有害物质限量应符合GB/T 26572的规定。</w:t>
      </w:r>
    </w:p>
    <w:p w14:paraId="5622C984">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智能取餐柜宜具备保温、冷藏、消毒功能。</w:t>
      </w:r>
    </w:p>
    <w:p w14:paraId="5888F4DE">
      <w:pPr>
        <w:widowControl w:val="0"/>
        <w:numPr>
          <w:ilvl w:val="3"/>
          <w:numId w:val="2"/>
        </w:numPr>
        <w:spacing w:before="156" w:beforeLines="50" w:after="156" w:afterLines="50"/>
        <w:ind w:left="0" w:firstLine="0"/>
        <w:jc w:val="both"/>
        <w:outlineLvl w:val="2"/>
        <w:rPr>
          <w:rFonts w:hint="eastAsia" w:ascii="黑体" w:hAnsi="Times New Roman" w:eastAsia="黑体" w:cs="Times New Roman"/>
          <w:color w:val="auto"/>
          <w:sz w:val="21"/>
          <w:highlight w:val="none"/>
          <w:lang w:val="en-US" w:eastAsia="zh-CN" w:bidi="ar-SA"/>
        </w:rPr>
      </w:pPr>
      <w:r>
        <w:rPr>
          <w:rFonts w:hint="default" w:ascii="黑体" w:hAnsi="Times New Roman" w:eastAsia="黑体" w:cs="Times New Roman"/>
          <w:color w:val="auto"/>
          <w:sz w:val="21"/>
          <w:highlight w:val="none"/>
          <w:lang w:val="en-US" w:eastAsia="zh-CN" w:bidi="ar-SA"/>
        </w:rPr>
        <w:t>集中</w:t>
      </w:r>
      <w:r>
        <w:rPr>
          <w:rFonts w:hint="eastAsia" w:ascii="黑体" w:hAnsi="Times New Roman" w:eastAsia="黑体" w:cs="Times New Roman"/>
          <w:color w:val="auto"/>
          <w:sz w:val="21"/>
          <w:highlight w:val="none"/>
          <w:lang w:val="en-US" w:eastAsia="zh-CN" w:bidi="ar-SA"/>
        </w:rPr>
        <w:t>取餐点</w:t>
      </w:r>
    </w:p>
    <w:p w14:paraId="3AA30276">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集中取餐点选址应远离污染源，距垃圾</w:t>
      </w:r>
      <w:r>
        <w:rPr>
          <w:rFonts w:hint="eastAsia" w:ascii="宋体" w:hAnsi="Times New Roman" w:cs="Times New Roman"/>
          <w:i w:val="0"/>
          <w:iCs w:val="0"/>
          <w:caps w:val="0"/>
          <w:color w:val="auto"/>
          <w:spacing w:val="0"/>
          <w:sz w:val="21"/>
          <w:szCs w:val="20"/>
          <w:highlight w:val="none"/>
          <w:shd w:val="clear" w:fill="auto"/>
          <w:lang w:val="en-US" w:eastAsia="zh-CN" w:bidi="ar-SA"/>
        </w:rPr>
        <w:t>集中存放点</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、厕所等直线距离不应小于2</w:t>
      </w:r>
      <w:r>
        <w:rPr>
          <w:rFonts w:hint="eastAsia" w:ascii="宋体" w:hAnsi="Times New Roman" w:cs="Times New Roman"/>
          <w:i w:val="0"/>
          <w:iCs w:val="0"/>
          <w:caps w:val="0"/>
          <w:color w:val="auto"/>
          <w:spacing w:val="0"/>
          <w:sz w:val="21"/>
          <w:szCs w:val="20"/>
          <w:highlight w:val="none"/>
          <w:shd w:val="clear" w:fill="auto"/>
          <w:lang w:val="en-US" w:eastAsia="zh-CN" w:bidi="ar-SA"/>
        </w:rPr>
        <w:t>0</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米。</w:t>
      </w:r>
    </w:p>
    <w:p w14:paraId="046107ED">
      <w:pPr>
        <w:keepNext w:val="0"/>
        <w:keepLines w:val="0"/>
        <w:pageBreakBefore w:val="0"/>
        <w:widowControl/>
        <w:numPr>
          <w:ilvl w:val="4"/>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i w:val="0"/>
          <w:iCs w:val="0"/>
          <w:caps w:val="0"/>
          <w:color w:val="auto"/>
          <w:spacing w:val="0"/>
          <w:sz w:val="21"/>
          <w:szCs w:val="20"/>
          <w:highlight w:val="none"/>
          <w:shd w:val="clear" w:fill="auto"/>
          <w:lang w:val="en-US" w:eastAsia="zh-CN" w:bidi="ar-SA"/>
        </w:rPr>
      </w:pPr>
      <w:bookmarkStart w:id="37" w:name="_Toc28064"/>
      <w:r>
        <w:rPr>
          <w:rFonts w:hint="eastAsia" w:ascii="宋体" w:hAnsi="Times New Roman" w:eastAsia="宋体" w:cs="Times New Roman"/>
          <w:i w:val="0"/>
          <w:iCs w:val="0"/>
          <w:caps w:val="0"/>
          <w:color w:val="auto"/>
          <w:spacing w:val="0"/>
          <w:sz w:val="21"/>
          <w:szCs w:val="20"/>
          <w:highlight w:val="none"/>
          <w:shd w:val="clear" w:fill="auto"/>
          <w:lang w:val="en-US" w:eastAsia="zh-CN" w:bidi="ar-SA"/>
        </w:rPr>
        <w:t>集中取餐点应保持环境整洁，每日</w:t>
      </w:r>
      <w:r>
        <w:rPr>
          <w:rFonts w:hint="eastAsia" w:ascii="宋体" w:hAnsi="Times New Roman" w:cs="Times New Roman"/>
          <w:i w:val="0"/>
          <w:iCs w:val="0"/>
          <w:caps w:val="0"/>
          <w:color w:val="auto"/>
          <w:spacing w:val="0"/>
          <w:sz w:val="21"/>
          <w:szCs w:val="20"/>
          <w:highlight w:val="none"/>
          <w:shd w:val="clear" w:fill="auto"/>
          <w:lang w:val="en-US" w:eastAsia="zh-CN" w:bidi="ar-SA"/>
        </w:rPr>
        <w:t>应</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至少进行1次清扫，及时清除垃圾、杂物和食物残渣，发现</w:t>
      </w:r>
      <w:r>
        <w:rPr>
          <w:rFonts w:hint="eastAsia" w:ascii="宋体" w:hAnsi="Times New Roman" w:cs="Times New Roman"/>
          <w:i w:val="0"/>
          <w:iCs w:val="0"/>
          <w:caps w:val="0"/>
          <w:color w:val="auto"/>
          <w:spacing w:val="0"/>
          <w:sz w:val="21"/>
          <w:szCs w:val="20"/>
          <w:highlight w:val="none"/>
          <w:shd w:val="clear" w:fill="auto"/>
          <w:lang w:val="en-US" w:eastAsia="zh-CN" w:bidi="ar-SA"/>
        </w:rPr>
        <w:t>餐品</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洒漏应立即清理</w:t>
      </w:r>
      <w:r>
        <w:rPr>
          <w:rFonts w:hint="eastAsia" w:ascii="宋体" w:hAnsi="Times New Roman" w:cs="Times New Roman"/>
          <w:i w:val="0"/>
          <w:iCs w:val="0"/>
          <w:caps w:val="0"/>
          <w:color w:val="auto"/>
          <w:spacing w:val="0"/>
          <w:sz w:val="21"/>
          <w:szCs w:val="20"/>
          <w:highlight w:val="none"/>
          <w:shd w:val="clear" w:fill="auto"/>
          <w:lang w:val="en-US" w:eastAsia="zh-CN" w:bidi="ar-SA"/>
        </w:rPr>
        <w:t>并</w:t>
      </w:r>
      <w:r>
        <w:rPr>
          <w:rFonts w:hint="eastAsia" w:ascii="宋体" w:hAnsi="Times New Roman" w:eastAsia="宋体" w:cs="Times New Roman"/>
          <w:i w:val="0"/>
          <w:iCs w:val="0"/>
          <w:caps w:val="0"/>
          <w:color w:val="auto"/>
          <w:spacing w:val="0"/>
          <w:sz w:val="21"/>
          <w:szCs w:val="20"/>
          <w:highlight w:val="none"/>
          <w:shd w:val="clear" w:fill="auto"/>
          <w:lang w:val="en-US" w:eastAsia="zh-CN" w:bidi="ar-SA"/>
        </w:rPr>
        <w:t>消毒。</w:t>
      </w:r>
    </w:p>
    <w:p w14:paraId="594429D7">
      <w:pPr>
        <w:pStyle w:val="105"/>
        <w:spacing w:before="312" w:after="312"/>
        <w:rPr>
          <w:rFonts w:hint="eastAsia"/>
          <w:color w:val="auto"/>
          <w:lang w:val="en-US" w:eastAsia="zh-CN"/>
        </w:rPr>
      </w:pPr>
      <w:bookmarkStart w:id="38" w:name="_Toc25055"/>
      <w:r>
        <w:rPr>
          <w:rFonts w:hint="eastAsia"/>
          <w:color w:val="auto"/>
          <w:lang w:val="en-US" w:eastAsia="zh-CN"/>
        </w:rPr>
        <w:t>配送</w:t>
      </w:r>
      <w:bookmarkEnd w:id="37"/>
      <w:r>
        <w:rPr>
          <w:rFonts w:hint="eastAsia"/>
          <w:color w:val="auto"/>
          <w:lang w:val="en-US" w:eastAsia="zh-CN"/>
        </w:rPr>
        <w:t>过程控制</w:t>
      </w:r>
      <w:bookmarkEnd w:id="38"/>
    </w:p>
    <w:p w14:paraId="5F48C12C">
      <w:pPr>
        <w:numPr>
          <w:ilvl w:val="2"/>
          <w:numId w:val="2"/>
        </w:numPr>
        <w:spacing w:before="156" w:beforeLines="50" w:after="156" w:afterLines="50"/>
        <w:ind w:left="0" w:firstLine="0"/>
        <w:jc w:val="both"/>
        <w:outlineLvl w:val="9"/>
        <w:rPr>
          <w:rFonts w:hint="eastAsia"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取餐</w:t>
      </w:r>
    </w:p>
    <w:p w14:paraId="1443F57C">
      <w:pPr>
        <w:pStyle w:val="166"/>
        <w:ind w:left="0" w:firstLine="0"/>
        <w:rPr>
          <w:rFonts w:ascii="宋体" w:hAnsi="Times New Roman" w:eastAsia="宋体" w:cs="Times New Roman"/>
          <w:color w:val="auto"/>
          <w:sz w:val="21"/>
          <w:highlight w:val="none"/>
          <w:lang w:val="en-US" w:eastAsia="zh-CN" w:bidi="ar-SA"/>
        </w:rPr>
      </w:pPr>
      <w:r>
        <w:rPr>
          <w:rFonts w:hint="eastAsia"/>
          <w:color w:val="auto"/>
          <w:highlight w:val="none"/>
          <w:lang w:eastAsia="zh-CN"/>
        </w:rPr>
        <w:t>配送员</w:t>
      </w:r>
      <w:r>
        <w:rPr>
          <w:rFonts w:hint="default"/>
          <w:color w:val="auto"/>
          <w:highlight w:val="none"/>
        </w:rPr>
        <w:t>应</w:t>
      </w:r>
      <w:r>
        <w:rPr>
          <w:rFonts w:hint="eastAsia"/>
          <w:color w:val="auto"/>
          <w:highlight w:val="none"/>
          <w:lang w:eastAsia="zh-CN"/>
        </w:rPr>
        <w:t>在商户设置的</w:t>
      </w:r>
      <w:r>
        <w:rPr>
          <w:rFonts w:hint="default"/>
          <w:color w:val="auto"/>
          <w:highlight w:val="none"/>
        </w:rPr>
        <w:t>外卖</w:t>
      </w:r>
      <w:r>
        <w:rPr>
          <w:rFonts w:hint="eastAsia"/>
          <w:color w:val="auto"/>
          <w:highlight w:val="none"/>
          <w:lang w:eastAsia="zh-CN"/>
        </w:rPr>
        <w:t>取餐</w:t>
      </w:r>
      <w:r>
        <w:rPr>
          <w:rFonts w:hint="default"/>
          <w:color w:val="auto"/>
          <w:highlight w:val="none"/>
        </w:rPr>
        <w:t>区</w:t>
      </w:r>
      <w:r>
        <w:rPr>
          <w:rFonts w:hint="eastAsia"/>
          <w:color w:val="auto"/>
          <w:highlight w:val="none"/>
          <w:lang w:eastAsia="zh-CN"/>
        </w:rPr>
        <w:t>取餐</w:t>
      </w:r>
      <w:r>
        <w:rPr>
          <w:rFonts w:hint="default"/>
          <w:color w:val="auto"/>
          <w:highlight w:val="none"/>
        </w:rPr>
        <w:t>，并</w:t>
      </w:r>
      <w:r>
        <w:rPr>
          <w:rFonts w:hint="eastAsia"/>
          <w:color w:val="auto"/>
          <w:highlight w:val="none"/>
          <w:lang w:eastAsia="zh-CN"/>
        </w:rPr>
        <w:t>与商户</w:t>
      </w:r>
      <w:r>
        <w:rPr>
          <w:rFonts w:hint="default"/>
          <w:color w:val="auto"/>
          <w:highlight w:val="none"/>
        </w:rPr>
        <w:t>核对订单信息、检查包装与封签完整性。</w:t>
      </w:r>
    </w:p>
    <w:p w14:paraId="6D6DF7AE">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配送员取餐时，发现商户属于无食品经营资质或存在较大食品安全隐患的，应拒绝取餐，并将相关情况上报。</w:t>
      </w:r>
      <w:r>
        <w:rPr>
          <w:rFonts w:hint="eastAsia" w:ascii="宋体" w:hAnsi="Times New Roman" w:cs="Times New Roman"/>
          <w:color w:val="auto"/>
          <w:sz w:val="21"/>
          <w:highlight w:val="none"/>
          <w:lang w:val="en-US" w:eastAsia="zh-CN" w:bidi="ar-SA"/>
        </w:rPr>
        <w:t>鼓励配送员</w:t>
      </w:r>
      <w:r>
        <w:rPr>
          <w:rFonts w:hint="eastAsia" w:ascii="宋体" w:hAnsi="Times New Roman" w:eastAsia="宋体" w:cs="Times New Roman"/>
          <w:color w:val="auto"/>
          <w:sz w:val="21"/>
          <w:highlight w:val="none"/>
          <w:lang w:val="en-US" w:eastAsia="zh-CN" w:bidi="ar-SA"/>
        </w:rPr>
        <w:t>协助核查商户入网资质有效性、后厨环境卫生状况、从业人员操作规范性等食品安全关键环节的违规问题。</w:t>
      </w:r>
    </w:p>
    <w:p w14:paraId="27A320C7">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配送员取餐时，应检查餐品包装完好性及密封性，检查餐品封签是否完好。如破损，应要求商户重新封装或拒绝配送。</w:t>
      </w:r>
    </w:p>
    <w:p w14:paraId="4CD6F108">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餐品放入配送箱时，应遵循生熟分开、冷热分离、不破损、不变形的保护原则。</w:t>
      </w:r>
    </w:p>
    <w:p w14:paraId="48AB7714">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配送餐品</w:t>
      </w:r>
      <w:r>
        <w:rPr>
          <w:rFonts w:ascii="宋体" w:hAnsi="Times New Roman" w:eastAsia="宋体" w:cs="Times New Roman"/>
          <w:color w:val="auto"/>
          <w:sz w:val="21"/>
          <w:szCs w:val="21"/>
          <w:highlight w:val="none"/>
          <w:lang w:val="en-US" w:eastAsia="zh-CN" w:bidi="ar-SA"/>
        </w:rPr>
        <w:t>中</w:t>
      </w:r>
      <w:r>
        <w:rPr>
          <w:rFonts w:hint="eastAsia" w:ascii="宋体" w:hAnsi="Times New Roman" w:eastAsia="宋体" w:cs="Times New Roman"/>
          <w:color w:val="auto"/>
          <w:sz w:val="21"/>
          <w:szCs w:val="21"/>
          <w:highlight w:val="none"/>
          <w:lang w:val="en-US" w:eastAsia="zh-CN" w:bidi="ar-SA"/>
        </w:rPr>
        <w:t>有保鲜、保温、冷藏或者冷冻等特殊要求的，应采取能保证食品安全的保温或</w:t>
      </w:r>
      <w:r>
        <w:rPr>
          <w:rFonts w:ascii="宋体" w:hAnsi="Times New Roman" w:eastAsia="宋体" w:cs="Times New Roman"/>
          <w:color w:val="auto"/>
          <w:sz w:val="21"/>
          <w:szCs w:val="21"/>
          <w:highlight w:val="none"/>
          <w:lang w:val="en-US" w:eastAsia="zh-CN" w:bidi="ar-SA"/>
        </w:rPr>
        <w:t>隔热措施</w:t>
      </w:r>
      <w:r>
        <w:rPr>
          <w:rFonts w:hint="eastAsia" w:ascii="宋体" w:hAnsi="Times New Roman" w:eastAsia="宋体" w:cs="Times New Roman"/>
          <w:color w:val="auto"/>
          <w:sz w:val="21"/>
          <w:szCs w:val="21"/>
          <w:highlight w:val="none"/>
          <w:lang w:val="en-US" w:eastAsia="zh-CN" w:bidi="ar-SA"/>
        </w:rPr>
        <w:t>。</w:t>
      </w:r>
    </w:p>
    <w:p w14:paraId="2796C76C">
      <w:pPr>
        <w:numPr>
          <w:ilvl w:val="2"/>
          <w:numId w:val="2"/>
        </w:numPr>
        <w:spacing w:before="156" w:beforeLines="50" w:after="156" w:afterLines="50"/>
        <w:ind w:left="0" w:firstLine="0"/>
        <w:jc w:val="both"/>
        <w:outlineLvl w:val="9"/>
        <w:rPr>
          <w:rFonts w:hint="eastAsia"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配送</w:t>
      </w:r>
    </w:p>
    <w:p w14:paraId="3A724E99">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配送员应采取必要的隔离措施，保证配送过程中餐品</w:t>
      </w:r>
      <w:r>
        <w:rPr>
          <w:rFonts w:ascii="宋体" w:hAnsi="Times New Roman" w:eastAsia="宋体" w:cs="Times New Roman"/>
          <w:color w:val="auto"/>
          <w:sz w:val="21"/>
          <w:highlight w:val="none"/>
          <w:lang w:val="en-US" w:eastAsia="zh-CN" w:bidi="ar-SA"/>
        </w:rPr>
        <w:t>不受</w:t>
      </w:r>
      <w:r>
        <w:rPr>
          <w:rFonts w:hint="eastAsia" w:ascii="宋体" w:hAnsi="Times New Roman" w:eastAsia="宋体" w:cs="Times New Roman"/>
          <w:color w:val="auto"/>
          <w:sz w:val="21"/>
          <w:highlight w:val="none"/>
          <w:lang w:val="en-US" w:eastAsia="zh-CN" w:bidi="ar-SA"/>
        </w:rPr>
        <w:t>污染。</w:t>
      </w:r>
    </w:p>
    <w:p w14:paraId="7FC6F283">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配送时不应携带、接触任何有毒有害物品，不可将食品与有毒有害物品混装配送。</w:t>
      </w:r>
    </w:p>
    <w:p w14:paraId="43FCD5CD">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配送过程中应保持封签的完整性，配送箱</w:t>
      </w:r>
      <w:r>
        <w:rPr>
          <w:rFonts w:hint="eastAsia" w:ascii="宋体" w:hAnsi="Times New Roman" w:cs="Times New Roman"/>
          <w:color w:val="auto"/>
          <w:sz w:val="21"/>
          <w:highlight w:val="none"/>
          <w:lang w:val="en-US" w:eastAsia="zh-CN" w:bidi="ar-SA"/>
        </w:rPr>
        <w:t>（包）</w:t>
      </w:r>
      <w:r>
        <w:rPr>
          <w:rFonts w:hint="eastAsia" w:ascii="宋体" w:hAnsi="Times New Roman" w:eastAsia="宋体" w:cs="Times New Roman"/>
          <w:color w:val="auto"/>
          <w:sz w:val="21"/>
          <w:highlight w:val="none"/>
          <w:lang w:val="en-US" w:eastAsia="zh-CN" w:bidi="ar-SA"/>
        </w:rPr>
        <w:t>不宜直接落地。</w:t>
      </w:r>
    </w:p>
    <w:p w14:paraId="7CE9D151">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配送员应在配送过程中</w:t>
      </w:r>
      <w:r>
        <w:rPr>
          <w:rFonts w:hint="eastAsia" w:ascii="宋体" w:hAnsi="Times New Roman" w:cs="Times New Roman"/>
          <w:color w:val="auto"/>
          <w:sz w:val="21"/>
          <w:highlight w:val="none"/>
          <w:lang w:val="en-US" w:eastAsia="zh-CN" w:bidi="ar-SA"/>
        </w:rPr>
        <w:t>保证</w:t>
      </w:r>
      <w:r>
        <w:rPr>
          <w:rFonts w:hint="eastAsia" w:ascii="宋体" w:hAnsi="Times New Roman" w:eastAsia="宋体" w:cs="Times New Roman"/>
          <w:color w:val="auto"/>
          <w:sz w:val="21"/>
          <w:highlight w:val="none"/>
          <w:lang w:val="en-US" w:eastAsia="zh-CN" w:bidi="ar-SA"/>
        </w:rPr>
        <w:t>配送餐品封签完整，不应在餐饮配送箱</w:t>
      </w:r>
      <w:r>
        <w:rPr>
          <w:rFonts w:hint="eastAsia" w:ascii="宋体" w:hAnsi="Times New Roman" w:cs="Times New Roman"/>
          <w:color w:val="auto"/>
          <w:sz w:val="21"/>
          <w:highlight w:val="none"/>
          <w:lang w:val="en-US" w:eastAsia="zh-CN" w:bidi="ar-SA"/>
        </w:rPr>
        <w:t>（</w:t>
      </w:r>
      <w:r>
        <w:rPr>
          <w:rFonts w:hint="eastAsia" w:ascii="宋体" w:hAnsi="Times New Roman" w:eastAsia="宋体" w:cs="Times New Roman"/>
          <w:color w:val="auto"/>
          <w:sz w:val="21"/>
          <w:highlight w:val="none"/>
          <w:lang w:val="en-US" w:eastAsia="zh-CN" w:bidi="ar-SA"/>
        </w:rPr>
        <w:t>包</w:t>
      </w:r>
      <w:r>
        <w:rPr>
          <w:rFonts w:hint="eastAsia" w:ascii="宋体" w:hAnsi="Times New Roman" w:cs="Times New Roman"/>
          <w:color w:val="auto"/>
          <w:sz w:val="21"/>
          <w:highlight w:val="none"/>
          <w:lang w:val="en-US" w:eastAsia="zh-CN" w:bidi="ar-SA"/>
        </w:rPr>
        <w:t>）</w:t>
      </w:r>
      <w:r>
        <w:rPr>
          <w:rFonts w:hint="eastAsia" w:ascii="宋体" w:hAnsi="Times New Roman" w:eastAsia="宋体" w:cs="Times New Roman"/>
          <w:color w:val="auto"/>
          <w:sz w:val="21"/>
          <w:highlight w:val="none"/>
          <w:lang w:val="en-US" w:eastAsia="zh-CN" w:bidi="ar-SA"/>
        </w:rPr>
        <w:t>中存放与餐品无关物品。</w:t>
      </w:r>
    </w:p>
    <w:p w14:paraId="3382EACB">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不应在送餐途中取出餐品，严禁第三人接触餐品。发生食品污染、封签损坏或不完整时，应终止配送。</w:t>
      </w:r>
    </w:p>
    <w:p w14:paraId="354B8129">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配送过程中餐品不慎倾洒，</w:t>
      </w:r>
      <w:r>
        <w:rPr>
          <w:rFonts w:hint="eastAsia" w:ascii="宋体" w:hAnsi="Times New Roman" w:cs="Times New Roman"/>
          <w:color w:val="auto"/>
          <w:sz w:val="21"/>
          <w:highlight w:val="none"/>
          <w:lang w:val="en-US" w:eastAsia="zh-CN" w:bidi="ar-SA"/>
        </w:rPr>
        <w:t>配送员应</w:t>
      </w:r>
      <w:r>
        <w:rPr>
          <w:rFonts w:hint="eastAsia" w:ascii="宋体" w:hAnsi="Times New Roman" w:eastAsia="宋体" w:cs="Times New Roman"/>
          <w:color w:val="auto"/>
          <w:sz w:val="21"/>
          <w:highlight w:val="none"/>
          <w:lang w:val="en-US" w:eastAsia="zh-CN" w:bidi="ar-SA"/>
        </w:rPr>
        <w:t>及时处理餐品</w:t>
      </w:r>
      <w:r>
        <w:rPr>
          <w:rFonts w:hint="eastAsia" w:ascii="宋体" w:hAnsi="Times New Roman" w:cs="Times New Roman"/>
          <w:color w:val="auto"/>
          <w:sz w:val="21"/>
          <w:highlight w:val="none"/>
          <w:lang w:val="en-US" w:eastAsia="zh-CN" w:bidi="ar-SA"/>
        </w:rPr>
        <w:t>，</w:t>
      </w:r>
      <w:r>
        <w:rPr>
          <w:rFonts w:hint="eastAsia" w:ascii="宋体" w:hAnsi="Times New Roman" w:eastAsia="宋体" w:cs="Times New Roman"/>
          <w:color w:val="auto"/>
          <w:sz w:val="21"/>
          <w:highlight w:val="none"/>
          <w:lang w:val="en-US" w:eastAsia="zh-CN" w:bidi="ar-SA"/>
        </w:rPr>
        <w:t>清理油污，保证配送箱清洁。</w:t>
      </w:r>
    </w:p>
    <w:p w14:paraId="63FAED01">
      <w:pPr>
        <w:numPr>
          <w:ilvl w:val="2"/>
          <w:numId w:val="2"/>
        </w:numPr>
        <w:spacing w:before="156" w:beforeLines="50" w:after="156" w:afterLines="50"/>
        <w:ind w:left="0" w:firstLine="0"/>
        <w:jc w:val="both"/>
        <w:outlineLvl w:val="9"/>
        <w:rPr>
          <w:rFonts w:hint="eastAsia"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交付</w:t>
      </w:r>
    </w:p>
    <w:p w14:paraId="69091EC4">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外卖餐品从门店出餐到交付消费者手中的间隔不应超过2小时。</w:t>
      </w:r>
    </w:p>
    <w:p w14:paraId="31468582">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配送员不</w:t>
      </w:r>
      <w:r>
        <w:rPr>
          <w:rFonts w:hint="eastAsia" w:ascii="宋体" w:hAnsi="Times New Roman" w:cs="Times New Roman"/>
          <w:color w:val="auto"/>
          <w:sz w:val="21"/>
          <w:highlight w:val="none"/>
          <w:lang w:val="en-US" w:eastAsia="zh-CN" w:bidi="ar-SA"/>
        </w:rPr>
        <w:t>应</w:t>
      </w:r>
      <w:r>
        <w:rPr>
          <w:rFonts w:hint="eastAsia" w:ascii="宋体" w:hAnsi="Times New Roman" w:eastAsia="宋体" w:cs="Times New Roman"/>
          <w:color w:val="auto"/>
          <w:sz w:val="21"/>
          <w:highlight w:val="none"/>
          <w:lang w:val="en-US" w:eastAsia="zh-CN" w:bidi="ar-SA"/>
        </w:rPr>
        <w:t>将餐品直接放置在地上。</w:t>
      </w:r>
    </w:p>
    <w:p w14:paraId="5721F4F4">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配送员应提醒消费者确认</w:t>
      </w:r>
      <w:r>
        <w:rPr>
          <w:rFonts w:hint="eastAsia" w:ascii="宋体" w:hAnsi="Times New Roman" w:cs="Times New Roman"/>
          <w:color w:val="auto"/>
          <w:sz w:val="21"/>
          <w:highlight w:val="none"/>
          <w:lang w:val="en-US" w:eastAsia="zh-CN" w:bidi="ar-SA"/>
        </w:rPr>
        <w:t>封签</w:t>
      </w:r>
      <w:r>
        <w:rPr>
          <w:rFonts w:hint="eastAsia" w:ascii="宋体" w:hAnsi="Times New Roman" w:eastAsia="宋体" w:cs="Times New Roman"/>
          <w:color w:val="auto"/>
          <w:sz w:val="21"/>
          <w:highlight w:val="none"/>
          <w:lang w:val="en-US" w:eastAsia="zh-CN" w:bidi="ar-SA"/>
        </w:rPr>
        <w:t>是否完好，封签已被破坏或者封签不完整的外卖食品，消费者可拒收。</w:t>
      </w:r>
    </w:p>
    <w:p w14:paraId="575FC708">
      <w:pPr>
        <w:keepNext w:val="0"/>
        <w:keepLines w:val="0"/>
        <w:pageBreakBefore w:val="0"/>
        <w:widowControl w:val="0"/>
        <w:numPr>
          <w:ilvl w:val="3"/>
          <w:numId w:val="2"/>
        </w:numPr>
        <w:kinsoku/>
        <w:wordWrap/>
        <w:overflowPunct/>
        <w:topLinePunct w:val="0"/>
        <w:autoSpaceDE/>
        <w:autoSpaceDN/>
        <w:bidi w:val="0"/>
        <w:adjustRightInd w:val="0"/>
        <w:snapToGrid/>
        <w:spacing w:before="0" w:beforeLines="0" w:after="0" w:afterLines="0" w:line="240" w:lineRule="auto"/>
        <w:ind w:left="0" w:firstLine="0"/>
        <w:jc w:val="both"/>
        <w:textAlignment w:val="auto"/>
        <w:outlineLvl w:val="9"/>
        <w:rPr>
          <w:rFonts w:hint="eastAsia" w:ascii="宋体" w:hAnsi="Times New Roman" w:eastAsia="宋体" w:cs="Times New Roman"/>
          <w:color w:val="auto"/>
          <w:sz w:val="21"/>
          <w:highlight w:val="none"/>
          <w:lang w:val="en-US" w:eastAsia="zh-CN" w:bidi="ar-SA"/>
        </w:rPr>
      </w:pPr>
      <w:r>
        <w:rPr>
          <w:rFonts w:hint="eastAsia" w:ascii="宋体" w:hAnsi="Times New Roman" w:cs="Times New Roman"/>
          <w:color w:val="auto"/>
          <w:sz w:val="21"/>
          <w:highlight w:val="none"/>
          <w:lang w:val="en-US" w:eastAsia="zh-CN" w:bidi="ar-SA"/>
        </w:rPr>
        <w:t>使用</w:t>
      </w:r>
      <w:r>
        <w:rPr>
          <w:rFonts w:hint="eastAsia" w:ascii="宋体" w:hAnsi="Times New Roman" w:eastAsia="宋体" w:cs="Times New Roman"/>
          <w:color w:val="auto"/>
          <w:sz w:val="21"/>
          <w:highlight w:val="none"/>
          <w:lang w:val="en-US" w:eastAsia="zh-CN" w:bidi="ar-SA"/>
        </w:rPr>
        <w:t>无接触</w:t>
      </w:r>
      <w:r>
        <w:rPr>
          <w:rFonts w:hint="eastAsia" w:ascii="宋体" w:hAnsi="Times New Roman" w:cs="Times New Roman"/>
          <w:color w:val="auto"/>
          <w:sz w:val="21"/>
          <w:highlight w:val="none"/>
          <w:lang w:val="en-US" w:eastAsia="zh-CN" w:bidi="ar-SA"/>
        </w:rPr>
        <w:t>取餐方式</w:t>
      </w:r>
      <w:r>
        <w:rPr>
          <w:rFonts w:hint="eastAsia" w:ascii="宋体" w:hAnsi="Times New Roman" w:eastAsia="宋体" w:cs="Times New Roman"/>
          <w:color w:val="auto"/>
          <w:sz w:val="21"/>
          <w:highlight w:val="none"/>
          <w:lang w:val="en-US" w:eastAsia="zh-CN" w:bidi="ar-SA"/>
        </w:rPr>
        <w:t>进行交付前应征得消费者同意。配送员应将食品放置</w:t>
      </w:r>
      <w:r>
        <w:rPr>
          <w:rFonts w:hint="eastAsia" w:ascii="宋体" w:hAnsi="Times New Roman" w:cs="Times New Roman"/>
          <w:color w:val="auto"/>
          <w:sz w:val="21"/>
          <w:highlight w:val="none"/>
          <w:lang w:val="en-US" w:eastAsia="zh-CN" w:bidi="ar-SA"/>
        </w:rPr>
        <w:t>平稳，保证封签完好，并拍照上传外卖平台。</w:t>
      </w:r>
    </w:p>
    <w:p w14:paraId="6FC75966">
      <w:pPr>
        <w:pStyle w:val="105"/>
        <w:spacing w:before="312" w:after="312"/>
        <w:rPr>
          <w:rFonts w:hint="eastAsia"/>
          <w:color w:val="auto"/>
          <w:lang w:val="en-US" w:eastAsia="zh-CN"/>
        </w:rPr>
      </w:pPr>
      <w:bookmarkStart w:id="39" w:name="_Toc607"/>
      <w:r>
        <w:rPr>
          <w:rFonts w:hint="eastAsia"/>
          <w:color w:val="auto"/>
          <w:lang w:val="en-US" w:eastAsia="zh-CN"/>
        </w:rPr>
        <w:t>服务评价与投诉管理</w:t>
      </w:r>
      <w:bookmarkEnd w:id="39"/>
    </w:p>
    <w:p w14:paraId="77014860">
      <w:pPr>
        <w:pStyle w:val="224"/>
        <w:ind w:left="0" w:firstLine="0"/>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t>商户、外卖平台应建立健全订单异常、服务投诉处理机制，对涉及消费者食品安全的投诉举报应及时进行处理。</w:t>
      </w:r>
    </w:p>
    <w:p w14:paraId="59703133">
      <w:pPr>
        <w:pStyle w:val="224"/>
        <w:ind w:left="0" w:firstLine="0"/>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t>外卖餐品配送完毕后，消费者可通过线上评价、电话等方式，对配送服务和外卖餐品进行评价，评价内容包括餐品与订单是否一致、餐品质量、包装完好程度、服务态度、是否送达指定地点等。</w:t>
      </w:r>
    </w:p>
    <w:p w14:paraId="6C50789B">
      <w:pPr>
        <w:pStyle w:val="224"/>
        <w:ind w:left="0" w:firstLine="0"/>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t>由于商户原因出现订单异常的，不符合卫生要求导致消费者投诉、发生食物中毒或食源性疾病等食品安全事故的，商户应具备相应的沟通反馈及异常处置机制。</w:t>
      </w:r>
    </w:p>
    <w:p w14:paraId="6C96E7E7">
      <w:pPr>
        <w:pStyle w:val="224"/>
        <w:ind w:left="0" w:firstLine="0"/>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t>外卖平台应当建立消费者权益保障体系，发生食品安全纠纷时应当及时调解，督促商户及时赔偿因食品安全问题所导致的消费者损失。外卖平台无法提供商户的真实名称、地址和有效联系方式的，由外卖平台赔偿。外卖平台赔偿后，可向商户追偿。</w:t>
      </w:r>
    </w:p>
    <w:p w14:paraId="55A3F685">
      <w:pPr>
        <w:pStyle w:val="105"/>
        <w:spacing w:before="312" w:after="312"/>
        <w:rPr>
          <w:rFonts w:hint="eastAsia"/>
          <w:color w:val="auto"/>
          <w:lang w:val="en-US" w:eastAsia="zh-CN"/>
        </w:rPr>
      </w:pPr>
      <w:bookmarkStart w:id="40" w:name="_Toc29413"/>
      <w:r>
        <w:rPr>
          <w:rFonts w:hint="eastAsia"/>
          <w:color w:val="auto"/>
          <w:lang w:val="en-US" w:eastAsia="zh-CN"/>
        </w:rPr>
        <w:t>应急</w:t>
      </w:r>
      <w:bookmarkEnd w:id="36"/>
      <w:r>
        <w:rPr>
          <w:rFonts w:hint="eastAsia"/>
          <w:color w:val="auto"/>
          <w:lang w:val="en-US" w:eastAsia="zh-CN"/>
        </w:rPr>
        <w:t>处理</w:t>
      </w:r>
      <w:bookmarkEnd w:id="40"/>
    </w:p>
    <w:p w14:paraId="77175B87">
      <w:pPr>
        <w:pStyle w:val="224"/>
        <w:rPr>
          <w:rFonts w:hint="eastAsia"/>
          <w:color w:val="auto"/>
          <w:highlight w:val="none"/>
          <w:lang w:val="en-US" w:eastAsia="zh-CN"/>
        </w:rPr>
      </w:pPr>
      <w:r>
        <w:rPr>
          <w:rFonts w:hint="eastAsia"/>
          <w:color w:val="auto"/>
          <w:highlight w:val="none"/>
          <w:lang w:val="en-US" w:eastAsia="zh-CN"/>
        </w:rPr>
        <w:t>外卖平台、商户应制定和完善食品安全突发事件的应急预案，并按要求进行演练。</w:t>
      </w:r>
    </w:p>
    <w:p w14:paraId="71BE34C5">
      <w:pPr>
        <w:pStyle w:val="224"/>
        <w:rPr>
          <w:rFonts w:hint="eastAsia"/>
          <w:color w:val="auto"/>
          <w:highlight w:val="none"/>
          <w:lang w:val="en-US" w:eastAsia="zh-CN"/>
        </w:rPr>
      </w:pPr>
      <w:r>
        <w:rPr>
          <w:rFonts w:hint="eastAsia"/>
          <w:color w:val="auto"/>
          <w:highlight w:val="none"/>
          <w:lang w:val="en-US" w:eastAsia="zh-CN"/>
        </w:rPr>
        <w:t>发生食品安全事件时，涉事商户应积极配合监管部门和卫生部门处理，立即停止违法行为，控制事态发展，防止产生不良社会影响。</w:t>
      </w:r>
    </w:p>
    <w:p w14:paraId="484AE8F1">
      <w:pPr>
        <w:pStyle w:val="224"/>
        <w:rPr>
          <w:rFonts w:hint="eastAsia"/>
          <w:color w:val="auto"/>
          <w:highlight w:val="none"/>
          <w:lang w:val="en-US" w:eastAsia="zh-CN"/>
        </w:rPr>
      </w:pPr>
      <w:r>
        <w:rPr>
          <w:rFonts w:hint="eastAsia"/>
          <w:color w:val="auto"/>
          <w:highlight w:val="none"/>
          <w:lang w:val="en-US" w:eastAsia="zh-CN"/>
        </w:rPr>
        <w:t>发现食品安全舆情应及时上报有关部门处理。</w:t>
      </w:r>
    </w:p>
    <w:p w14:paraId="77FD7A8E">
      <w:pPr>
        <w:widowControl/>
        <w:adjustRightInd/>
        <w:spacing w:line="240" w:lineRule="auto"/>
        <w:jc w:val="left"/>
        <w:rPr>
          <w:rFonts w:ascii="宋体" w:hAnsi="Times New Roman" w:cs="宋体"/>
          <w:color w:val="auto"/>
          <w:kern w:val="0"/>
          <w:szCs w:val="20"/>
        </w:rPr>
      </w:pPr>
      <w:bookmarkStart w:id="41" w:name="BookMark8"/>
    </w:p>
    <w:p w14:paraId="104A7D8C">
      <w:pPr>
        <w:rPr>
          <w:color w:val="auto"/>
        </w:rPr>
      </w:pPr>
      <w:r>
        <w:rPr>
          <w:color w:val="auto"/>
        </w:rPr>
        <w:br w:type="page"/>
      </w:r>
    </w:p>
    <w:p w14:paraId="2465A5B6">
      <w:pPr>
        <w:pStyle w:val="64"/>
        <w:spacing w:after="156"/>
        <w:rPr>
          <w:color w:val="auto"/>
          <w:highlight w:val="none"/>
        </w:rPr>
      </w:pPr>
      <w:bookmarkStart w:id="42" w:name="_Toc164669189"/>
      <w:bookmarkStart w:id="43" w:name="_Toc2484"/>
      <w:r>
        <w:rPr>
          <w:rFonts w:hint="eastAsia"/>
          <w:color w:val="auto"/>
          <w:spacing w:val="105"/>
          <w:highlight w:val="none"/>
        </w:rPr>
        <w:t>参考文</w:t>
      </w:r>
      <w:r>
        <w:rPr>
          <w:rFonts w:hint="eastAsia"/>
          <w:color w:val="auto"/>
          <w:highlight w:val="none"/>
        </w:rPr>
        <w:t>献</w:t>
      </w:r>
      <w:bookmarkEnd w:id="42"/>
      <w:bookmarkEnd w:id="43"/>
    </w:p>
    <w:p w14:paraId="28355442">
      <w:pPr>
        <w:pStyle w:val="57"/>
        <w:rPr>
          <w:rFonts w:hint="eastAsia"/>
          <w:color w:val="auto"/>
        </w:rPr>
      </w:pPr>
      <w:r>
        <w:rPr>
          <w:rFonts w:hint="eastAsia"/>
          <w:color w:val="auto"/>
        </w:rPr>
        <w:t>[1]  中华人民共和国食品安全法（2009年2月28日第十一届全国人民代表大会常务委员会第七次会议通过　2015年4月24日第十二届全国人民代表大会常务委员会第十四次会议修订　根据2018年12月29日第十三届全国人民代表大会常务委员会第七次会议《关于修改〈中华人民共和国产品质量法〉等五部法律的决定》第一次修正　根据2021年4月29日第十三届全国人民代表大会常务委员会第二十八次会议《关于修改〈中华人民共和国道路交通安全法〉等八部法律的决定》第二次修正　根据2025年9月12日第十四届全国人民代表大会常务委</w:t>
      </w:r>
      <w:bookmarkStart w:id="45" w:name="_GoBack"/>
      <w:bookmarkEnd w:id="45"/>
      <w:r>
        <w:rPr>
          <w:rFonts w:hint="eastAsia"/>
          <w:color w:val="auto"/>
        </w:rPr>
        <w:t>员会第十七次会议《关于修改〈中华人民共和国食品安全法〉的决定》第三次修正）</w:t>
      </w:r>
    </w:p>
    <w:p w14:paraId="31770FEF">
      <w:pPr>
        <w:pStyle w:val="57"/>
        <w:rPr>
          <w:rFonts w:hint="eastAsia"/>
          <w:color w:val="auto"/>
          <w:lang w:eastAsia="zh-CN"/>
        </w:rPr>
      </w:pPr>
      <w:r>
        <w:rPr>
          <w:rFonts w:hint="eastAsia"/>
          <w:color w:val="auto"/>
        </w:rPr>
        <w:t xml:space="preserve">[2]  </w:t>
      </w:r>
      <w:r>
        <w:rPr>
          <w:rFonts w:hint="eastAsia"/>
          <w:color w:val="auto"/>
          <w:lang w:eastAsia="zh-CN"/>
        </w:rPr>
        <w:t>中华人民共和国消费者权益保护法（</w:t>
      </w:r>
      <w:r>
        <w:rPr>
          <w:rFonts w:hint="eastAsia"/>
          <w:color w:val="auto"/>
        </w:rPr>
        <w:t>1993年10月31日第八届全国人民代表大会常务委员会第四次会议通过根据2009年8月27日第十一届全国人民代表大会常务委员会第十次会议《关于修改部分法律的决定》第一次修正根据2013年10月25日第十二届全国人民代表大会常务委员会第五次会议《关于修改</w:t>
      </w:r>
      <w:r>
        <w:rPr>
          <w:rFonts w:hint="eastAsia"/>
          <w:color w:val="auto"/>
          <w:lang w:eastAsia="zh-CN"/>
        </w:rPr>
        <w:t>〈</w:t>
      </w:r>
      <w:r>
        <w:rPr>
          <w:rFonts w:hint="eastAsia"/>
          <w:color w:val="auto"/>
        </w:rPr>
        <w:t>中华人民共和国消费者权益保护法</w:t>
      </w:r>
      <w:r>
        <w:rPr>
          <w:rFonts w:hint="eastAsia"/>
          <w:color w:val="auto"/>
          <w:lang w:eastAsia="zh-CN"/>
        </w:rPr>
        <w:t>〉</w:t>
      </w:r>
      <w:r>
        <w:rPr>
          <w:rFonts w:hint="eastAsia"/>
          <w:color w:val="auto"/>
        </w:rPr>
        <w:t>的决定》第二次修正</w:t>
      </w:r>
      <w:r>
        <w:rPr>
          <w:rFonts w:hint="eastAsia"/>
          <w:color w:val="auto"/>
          <w:lang w:eastAsia="zh-CN"/>
        </w:rPr>
        <w:t>）</w:t>
      </w:r>
    </w:p>
    <w:p w14:paraId="2E31D086">
      <w:pPr>
        <w:pStyle w:val="57"/>
        <w:rPr>
          <w:rFonts w:hint="eastAsia"/>
          <w:color w:val="auto"/>
          <w:lang w:eastAsia="zh-CN"/>
        </w:rPr>
      </w:pPr>
      <w:r>
        <w:rPr>
          <w:rFonts w:hint="eastAsia"/>
          <w:color w:val="auto"/>
        </w:rPr>
        <w:t>[3]</w:t>
      </w:r>
      <w:r>
        <w:rPr>
          <w:rFonts w:hint="eastAsia"/>
          <w:color w:val="auto"/>
          <w:lang w:val="en-US" w:eastAsia="zh-CN"/>
        </w:rPr>
        <w:t xml:space="preserve">  </w:t>
      </w:r>
      <w:r>
        <w:rPr>
          <w:rFonts w:hint="eastAsia"/>
          <w:color w:val="auto"/>
          <w:lang w:eastAsia="zh-CN"/>
        </w:rPr>
        <w:t>网络餐饮服务经营者落实食品安全主体责任监督管理规定(国家市场监督管理总局令第123号)</w:t>
      </w:r>
    </w:p>
    <w:p w14:paraId="1C65F439">
      <w:pPr>
        <w:pStyle w:val="57"/>
        <w:rPr>
          <w:rFonts w:hint="eastAsia"/>
          <w:color w:val="auto"/>
          <w:lang w:eastAsia="zh-CN"/>
        </w:rPr>
      </w:pPr>
      <w:r>
        <w:rPr>
          <w:rFonts w:hint="eastAsia"/>
          <w:color w:val="auto"/>
        </w:rPr>
        <w:t>[</w:t>
      </w:r>
      <w:r>
        <w:rPr>
          <w:rFonts w:hint="eastAsia"/>
          <w:color w:val="auto"/>
          <w:lang w:val="en-US" w:eastAsia="zh-CN"/>
        </w:rPr>
        <w:t>4</w:t>
      </w:r>
      <w:r>
        <w:rPr>
          <w:rFonts w:hint="eastAsia"/>
          <w:color w:val="auto"/>
        </w:rPr>
        <w:t>]</w:t>
      </w:r>
      <w:r>
        <w:rPr>
          <w:rFonts w:hint="eastAsia"/>
          <w:color w:val="auto"/>
          <w:lang w:val="en-US" w:eastAsia="zh-CN"/>
        </w:rPr>
        <w:t xml:space="preserve">  </w:t>
      </w:r>
      <w:r>
        <w:rPr>
          <w:rFonts w:hint="eastAsia"/>
          <w:color w:val="auto"/>
          <w:lang w:eastAsia="zh-CN"/>
        </w:rPr>
        <w:t>网络食品销售经营者落实食品安全主体责任监督管理规定（国家市场监督管理总局令第124号）</w:t>
      </w:r>
    </w:p>
    <w:p w14:paraId="228041E9">
      <w:pPr>
        <w:pStyle w:val="57"/>
        <w:rPr>
          <w:rFonts w:hint="eastAsia" w:eastAsia="宋体"/>
          <w:color w:val="auto"/>
          <w:lang w:eastAsia="zh-CN"/>
        </w:rPr>
      </w:pPr>
      <w:r>
        <w:rPr>
          <w:rFonts w:hint="eastAsia"/>
          <w:color w:val="auto"/>
        </w:rPr>
        <w:t>[</w:t>
      </w:r>
      <w:r>
        <w:rPr>
          <w:rFonts w:hint="eastAsia"/>
          <w:color w:val="auto"/>
          <w:lang w:val="en-US" w:eastAsia="zh-CN"/>
        </w:rPr>
        <w:t>5</w:t>
      </w:r>
      <w:r>
        <w:rPr>
          <w:rFonts w:hint="eastAsia"/>
          <w:color w:val="auto"/>
        </w:rPr>
        <w:t xml:space="preserve">] </w:t>
      </w:r>
      <w:r>
        <w:rPr>
          <w:rFonts w:hint="eastAsia"/>
          <w:color w:val="auto"/>
          <w:lang w:val="en-US" w:eastAsia="zh-CN"/>
        </w:rPr>
        <w:t xml:space="preserve"> 中华人民共和国消费者权益保护法实施条例（</w:t>
      </w:r>
      <w:r>
        <w:rPr>
          <w:rFonts w:hint="eastAsia"/>
          <w:color w:val="auto"/>
        </w:rPr>
        <w:t>2024年2月23日国务院第26次常务会议通</w:t>
      </w:r>
      <w:r>
        <w:rPr>
          <w:rFonts w:hint="eastAsia"/>
          <w:color w:val="auto"/>
          <w:lang w:eastAsia="zh-CN"/>
        </w:rPr>
        <w:t>过）</w:t>
      </w:r>
    </w:p>
    <w:p w14:paraId="72D9008C">
      <w:pPr>
        <w:pStyle w:val="57"/>
        <w:rPr>
          <w:rFonts w:hint="eastAsia"/>
          <w:color w:val="auto"/>
        </w:rPr>
      </w:pPr>
      <w:r>
        <w:rPr>
          <w:rFonts w:hint="eastAsia"/>
          <w:color w:val="auto"/>
        </w:rPr>
        <w:t>[</w:t>
      </w:r>
      <w:r>
        <w:rPr>
          <w:rFonts w:hint="eastAsia"/>
          <w:color w:val="auto"/>
          <w:lang w:val="en-US" w:eastAsia="zh-CN"/>
        </w:rPr>
        <w:t>6</w:t>
      </w:r>
      <w:r>
        <w:rPr>
          <w:rFonts w:hint="eastAsia"/>
          <w:color w:val="auto"/>
        </w:rPr>
        <w:t>]  餐饮服务食品安全操作规范（</w:t>
      </w:r>
      <w:r>
        <w:rPr>
          <w:rFonts w:hint="eastAsia"/>
          <w:color w:val="auto"/>
          <w:lang w:eastAsia="zh-CN"/>
        </w:rPr>
        <w:t>国家市场监督管理总局</w:t>
      </w:r>
      <w:r>
        <w:rPr>
          <w:rFonts w:hint="eastAsia"/>
          <w:color w:val="auto"/>
        </w:rPr>
        <w:t>公告</w:t>
      </w:r>
      <w:r>
        <w:rPr>
          <w:rFonts w:hint="eastAsia"/>
          <w:color w:val="auto"/>
          <w:lang w:eastAsia="zh-CN"/>
        </w:rPr>
        <w:t>〔2018〕12号</w:t>
      </w:r>
      <w:r>
        <w:rPr>
          <w:rFonts w:hint="eastAsia"/>
          <w:color w:val="auto"/>
        </w:rPr>
        <w:t>）</w:t>
      </w:r>
    </w:p>
    <w:p w14:paraId="4DFD50F0">
      <w:pPr>
        <w:pStyle w:val="57"/>
        <w:rPr>
          <w:rFonts w:hint="eastAsia"/>
          <w:color w:val="auto"/>
        </w:rPr>
      </w:pPr>
      <w:r>
        <w:rPr>
          <w:rFonts w:hint="eastAsia"/>
          <w:color w:val="auto"/>
        </w:rPr>
        <w:t>[</w:t>
      </w:r>
      <w:r>
        <w:rPr>
          <w:rFonts w:hint="eastAsia"/>
          <w:color w:val="auto"/>
          <w:lang w:val="en-US" w:eastAsia="zh-CN"/>
        </w:rPr>
        <w:t>7</w:t>
      </w:r>
      <w:r>
        <w:rPr>
          <w:rFonts w:hint="eastAsia"/>
          <w:color w:val="auto"/>
        </w:rPr>
        <w:t>]  食品生产经营企业落实食品安全主体责任监督管理规定（国家市场监督管理总局令第97号）</w:t>
      </w:r>
    </w:p>
    <w:p w14:paraId="06E547E0">
      <w:pPr>
        <w:pStyle w:val="57"/>
        <w:rPr>
          <w:rFonts w:hint="eastAsia"/>
          <w:color w:val="auto"/>
        </w:rPr>
      </w:pPr>
      <w:r>
        <w:rPr>
          <w:rFonts w:hint="eastAsia"/>
          <w:color w:val="auto"/>
        </w:rPr>
        <w:t>[</w:t>
      </w:r>
      <w:r>
        <w:rPr>
          <w:rFonts w:hint="eastAsia"/>
          <w:color w:val="auto"/>
          <w:lang w:val="en-US" w:eastAsia="zh-CN"/>
        </w:rPr>
        <w:t>8</w:t>
      </w:r>
      <w:r>
        <w:rPr>
          <w:rFonts w:hint="eastAsia"/>
          <w:color w:val="auto"/>
        </w:rPr>
        <w:t xml:space="preserve">] </w:t>
      </w:r>
      <w:r>
        <w:rPr>
          <w:rFonts w:hint="eastAsia"/>
          <w:color w:val="auto"/>
          <w:lang w:val="en-US" w:eastAsia="zh-CN"/>
        </w:rPr>
        <w:t xml:space="preserve"> 网络交易监督管理办法（2021年3月15日国家市场监督管理总局令第37号公布，2025年3月12日《国家市场监督管理总局关于废止和修改部分规章的决定》国家市场监督管理总局令第101号修订）</w:t>
      </w:r>
    </w:p>
    <w:p w14:paraId="11A0679C">
      <w:pPr>
        <w:pStyle w:val="57"/>
        <w:rPr>
          <w:rFonts w:hint="eastAsia"/>
          <w:color w:val="auto"/>
        </w:rPr>
      </w:pPr>
      <w:r>
        <w:rPr>
          <w:rFonts w:hint="eastAsia"/>
          <w:color w:val="auto"/>
        </w:rPr>
        <w:t>[</w:t>
      </w:r>
      <w:r>
        <w:rPr>
          <w:rFonts w:hint="eastAsia"/>
          <w:color w:val="auto"/>
          <w:lang w:val="en-US" w:eastAsia="zh-CN"/>
        </w:rPr>
        <w:t>9</w:t>
      </w:r>
      <w:r>
        <w:rPr>
          <w:rFonts w:hint="eastAsia"/>
          <w:color w:val="auto"/>
        </w:rPr>
        <w:t>]</w:t>
      </w:r>
      <w:r>
        <w:rPr>
          <w:rFonts w:hint="eastAsia"/>
          <w:color w:val="auto"/>
          <w:lang w:val="en-US" w:eastAsia="zh-CN"/>
        </w:rPr>
        <w:t xml:space="preserve">  </w:t>
      </w:r>
      <w:r>
        <w:rPr>
          <w:rFonts w:hint="eastAsia"/>
          <w:color w:val="auto"/>
        </w:rPr>
        <w:t>网约配送员国家职业技能标准（2021年版</w:t>
      </w:r>
      <w:r>
        <w:rPr>
          <w:rFonts w:hint="eastAsia"/>
          <w:color w:val="auto"/>
          <w:lang w:eastAsia="zh-CN"/>
        </w:rPr>
        <w:t>）</w:t>
      </w:r>
      <w:r>
        <w:rPr>
          <w:rFonts w:hint="eastAsia"/>
          <w:color w:val="auto"/>
        </w:rPr>
        <w:t>（人社厅发</w:t>
      </w:r>
      <w:r>
        <w:rPr>
          <w:rFonts w:hint="eastAsia"/>
          <w:color w:val="auto"/>
          <w:lang w:eastAsia="zh-CN"/>
        </w:rPr>
        <w:t>〔2021〕92号）</w:t>
      </w:r>
    </w:p>
    <w:p w14:paraId="74167FBB">
      <w:pPr>
        <w:pStyle w:val="57"/>
        <w:rPr>
          <w:rFonts w:hint="eastAsia"/>
          <w:color w:val="auto"/>
        </w:rPr>
      </w:pPr>
      <w:r>
        <w:rPr>
          <w:rFonts w:hint="eastAsia"/>
          <w:color w:val="auto"/>
        </w:rPr>
        <w:t>[</w:t>
      </w:r>
      <w:r>
        <w:rPr>
          <w:rFonts w:hint="eastAsia"/>
          <w:color w:val="auto"/>
          <w:lang w:val="en-US" w:eastAsia="zh-CN"/>
        </w:rPr>
        <w:t>10</w:t>
      </w:r>
      <w:r>
        <w:rPr>
          <w:rFonts w:hint="eastAsia"/>
          <w:color w:val="auto"/>
        </w:rPr>
        <w:t xml:space="preserve">] </w:t>
      </w:r>
      <w:r>
        <w:rPr>
          <w:rFonts w:hint="eastAsia"/>
          <w:color w:val="auto"/>
          <w:lang w:val="en-US" w:eastAsia="zh-CN"/>
        </w:rPr>
        <w:t xml:space="preserve"> </w:t>
      </w:r>
      <w:r>
        <w:rPr>
          <w:rFonts w:hint="eastAsia"/>
          <w:color w:val="auto"/>
        </w:rPr>
        <w:t>国务院办公厅关于促进即时配送行业高质量发展的指导意见（国办发</w:t>
      </w:r>
      <w:r>
        <w:rPr>
          <w:rFonts w:hint="eastAsia"/>
          <w:color w:val="auto"/>
          <w:lang w:eastAsia="zh-CN"/>
        </w:rPr>
        <w:t>〔2024〕3号）</w:t>
      </w:r>
    </w:p>
    <w:p w14:paraId="141DDC98">
      <w:pPr>
        <w:pStyle w:val="57"/>
        <w:rPr>
          <w:rFonts w:hint="eastAsia"/>
          <w:color w:val="auto"/>
          <w:lang w:eastAsia="zh-CN"/>
        </w:rPr>
      </w:pPr>
      <w:r>
        <w:rPr>
          <w:rFonts w:hint="eastAsia"/>
          <w:color w:val="auto"/>
        </w:rPr>
        <w:t>[</w:t>
      </w:r>
      <w:r>
        <w:rPr>
          <w:rFonts w:hint="eastAsia"/>
          <w:color w:val="auto"/>
          <w:lang w:val="en-US" w:eastAsia="zh-CN"/>
        </w:rPr>
        <w:t>11</w:t>
      </w:r>
      <w:r>
        <w:rPr>
          <w:rFonts w:hint="eastAsia"/>
          <w:color w:val="auto"/>
        </w:rPr>
        <w:t>]</w:t>
      </w:r>
      <w:r>
        <w:rPr>
          <w:rFonts w:hint="eastAsia"/>
          <w:color w:val="auto"/>
          <w:lang w:val="en-US" w:eastAsia="zh-CN"/>
        </w:rPr>
        <w:t xml:space="preserve">  </w:t>
      </w:r>
      <w:r>
        <w:rPr>
          <w:rFonts w:hint="eastAsia"/>
          <w:color w:val="auto"/>
        </w:rPr>
        <w:t>市场监管总局关于推动网络交易平台企业落实合规管理主体责任的指导意见（国市监网监发</w:t>
      </w:r>
      <w:r>
        <w:rPr>
          <w:rFonts w:hint="eastAsia"/>
          <w:color w:val="auto"/>
          <w:lang w:eastAsia="zh-CN"/>
        </w:rPr>
        <w:t>〔2025〕18号）</w:t>
      </w:r>
    </w:p>
    <w:p w14:paraId="28302977">
      <w:pPr>
        <w:pStyle w:val="57"/>
        <w:rPr>
          <w:rFonts w:hint="eastAsia"/>
          <w:color w:val="auto"/>
          <w:lang w:eastAsia="zh-CN"/>
        </w:rPr>
      </w:pPr>
    </w:p>
    <w:p w14:paraId="06FE3FE0">
      <w:pPr>
        <w:pStyle w:val="57"/>
        <w:rPr>
          <w:rFonts w:hint="eastAsia"/>
          <w:color w:val="auto"/>
          <w:lang w:eastAsia="zh-CN"/>
        </w:rPr>
      </w:pPr>
    </w:p>
    <w:p w14:paraId="2D6003BA">
      <w:pPr>
        <w:pStyle w:val="163"/>
        <w:jc w:val="center"/>
      </w:pPr>
      <w:r>
        <w:rPr>
          <w:rFonts w:hint="eastAsia"/>
        </w:rPr>
        <w:drawing>
          <wp:inline distT="0" distB="0" distL="0" distR="0">
            <wp:extent cx="1485900" cy="317500"/>
            <wp:effectExtent l="0" t="0" r="0" b="6350"/>
            <wp:docPr id="7581674" name="图片 1"/>
            <wp:cNvGraphicFramePr/>
            <a:graphic xmlns:a="http://schemas.openxmlformats.org/drawingml/2006/main">
              <a:graphicData uri="http://schemas.openxmlformats.org/drawingml/2006/picture">
                <pic:pic xmlns:pic="http://schemas.openxmlformats.org/drawingml/2006/picture">
                  <pic:nvPicPr>
                    <pic:cNvPr id="7581674" name="图片 1"/>
                    <pic:cNvPicPr/>
                  </pic:nvPicPr>
                  <pic:blipFill>
                    <a:blip r:embed="rId19">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41"/>
    </w:p>
    <w:bookmarkEnd w:id="8"/>
    <w:p w14:paraId="5E6782C3">
      <w:pPr>
        <w:pStyle w:val="199"/>
      </w:pPr>
      <w:bookmarkStart w:id="44" w:name="BookMark5"/>
      <w:bookmarkEnd w:id="44"/>
    </w:p>
    <w:sectPr>
      <w:headerReference r:id="rId14" w:type="default"/>
      <w:footerReference r:id="rId16" w:type="default"/>
      <w:headerReference r:id="rId15" w:type="even"/>
      <w:footerReference r:id="rId17" w:type="even"/>
      <w:pgSz w:w="11906" w:h="16838"/>
      <w:pgMar w:top="1928" w:right="1134" w:bottom="1134" w:left="1134" w:header="1418" w:footer="1134" w:gutter="284"/>
      <w:pgNumType w:start="1"/>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333AF">
    <w:pPr>
      <w:pStyle w:val="17"/>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0AA01">
    <w:pPr>
      <w:pStyle w:val="17"/>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4D5A6">
    <w:pPr>
      <w:pStyle w:val="53"/>
    </w:pPr>
    <w:r>
      <w:fldChar w:fldCharType="begin"/>
    </w:r>
    <w:r>
      <w:instrText xml:space="preserve">PAGE   \* MERGEFORMAT</w:instrText>
    </w:r>
    <w:r>
      <w:fldChar w:fldCharType="separate"/>
    </w:r>
    <w:r>
      <w:rPr>
        <w:lang w:val="zh-CN"/>
      </w:rPr>
      <w:t>III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BD90C">
    <w:pPr>
      <w:pStyle w:val="52"/>
      <w:ind w:left="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3C3FD">
    <w:pPr>
      <w:pStyle w:val="53"/>
    </w:pPr>
    <w:r>
      <w:fldChar w:fldCharType="begin"/>
    </w:r>
    <w:r>
      <w:instrText xml:space="preserve">PAGE   \* MERGEFORMAT</w:instrText>
    </w:r>
    <w:r>
      <w:fldChar w:fldCharType="separate"/>
    </w:r>
    <w:r>
      <w:rPr>
        <w:lang w:val="zh-CN"/>
      </w:rPr>
      <w:t>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B8AC9">
    <w:pPr>
      <w:pStyle w:val="52"/>
    </w:pPr>
    <w:r>
      <w:fldChar w:fldCharType="begin"/>
    </w:r>
    <w:r>
      <w:instrText xml:space="preserve"> PAGE   \* MERGEFORMAT \* MERGEFORMAT </w:instrText>
    </w:r>
    <w:r>
      <w:fldChar w:fldCharType="separate"/>
    </w:r>
    <w: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F136B">
    <w:pPr>
      <w:pStyle w:val="18"/>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D28C5">
    <w:pPr>
      <w:pStyle w:val="18"/>
      <w:jc w:val="both"/>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EE0BE">
    <w:pPr>
      <w:pStyle w:val="62"/>
    </w:pPr>
    <w:r>
      <w:fldChar w:fldCharType="begin"/>
    </w:r>
    <w:r>
      <w:instrText xml:space="preserve"> STYLEREF  标准文件_文件编号  \* MERGEFORMAT </w:instrText>
    </w:r>
    <w:r>
      <w:fldChar w:fldCharType="separate"/>
    </w:r>
    <w:r>
      <w:t>MR/T XXXXX—XXXX</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206D2">
    <w:pPr>
      <w:pStyle w:val="6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B0833">
    <w:pPr>
      <w:pStyle w:val="62"/>
    </w:pPr>
    <w:r>
      <w:fldChar w:fldCharType="begin"/>
    </w:r>
    <w:r>
      <w:instrText xml:space="preserve"> STYLEREF  标准文件_文件编号  \* MERGEFORMAT </w:instrText>
    </w:r>
    <w:r>
      <w:fldChar w:fldCharType="separate"/>
    </w:r>
    <w:r>
      <w:t>MR/T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5954">
    <w:pPr>
      <w:pStyle w:val="62"/>
    </w:pPr>
    <w:r>
      <w:fldChar w:fldCharType="begin"/>
    </w:r>
    <w:r>
      <w:instrText xml:space="preserve"> STYLEREF  标准文件_文件编号  \* MERGEFORMAT </w:instrText>
    </w:r>
    <w:r>
      <w:fldChar w:fldCharType="separate"/>
    </w:r>
    <w:r>
      <w:t>MR/T XXXXX—XXXX</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98297">
    <w:pPr>
      <w:pStyle w:val="63"/>
    </w:pPr>
    <w:r>
      <w:fldChar w:fldCharType="begin"/>
    </w:r>
    <w:r>
      <w:instrText xml:space="preserve"> STYLEREF  标准文件_文件编号 \* MERGEFORMAT </w:instrText>
    </w:r>
    <w:r>
      <w:fldChar w:fldCharType="separate"/>
    </w:r>
    <w:r>
      <w:t>MR/T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5"/>
      <w:lvlText w:val="[%1]"/>
      <w:lvlJc w:val="left"/>
      <w:pPr>
        <w:tabs>
          <w:tab w:val="left" w:pos="13980"/>
        </w:tabs>
        <w:ind w:left="13980" w:hanging="648"/>
      </w:pPr>
    </w:lvl>
    <w:lvl w:ilvl="1" w:tentative="0">
      <w:start w:val="1"/>
      <w:numFmt w:val="lowerLetter"/>
      <w:lvlText w:val="%2)"/>
      <w:lvlJc w:val="left"/>
      <w:pPr>
        <w:tabs>
          <w:tab w:val="left" w:pos="14172"/>
        </w:tabs>
        <w:ind w:left="14172" w:hanging="420"/>
      </w:pPr>
    </w:lvl>
    <w:lvl w:ilvl="2" w:tentative="0">
      <w:start w:val="1"/>
      <w:numFmt w:val="lowerRoman"/>
      <w:lvlText w:val="%3."/>
      <w:lvlJc w:val="right"/>
      <w:pPr>
        <w:tabs>
          <w:tab w:val="left" w:pos="14592"/>
        </w:tabs>
        <w:ind w:left="14592" w:hanging="420"/>
      </w:pPr>
    </w:lvl>
    <w:lvl w:ilvl="3" w:tentative="0">
      <w:start w:val="1"/>
      <w:numFmt w:val="decimal"/>
      <w:lvlText w:val="%4."/>
      <w:lvlJc w:val="left"/>
      <w:pPr>
        <w:tabs>
          <w:tab w:val="left" w:pos="15012"/>
        </w:tabs>
        <w:ind w:left="15012" w:hanging="420"/>
      </w:pPr>
    </w:lvl>
    <w:lvl w:ilvl="4" w:tentative="0">
      <w:start w:val="1"/>
      <w:numFmt w:val="lowerLetter"/>
      <w:lvlText w:val="%5)"/>
      <w:lvlJc w:val="left"/>
      <w:pPr>
        <w:tabs>
          <w:tab w:val="left" w:pos="15432"/>
        </w:tabs>
        <w:ind w:left="15432" w:hanging="420"/>
      </w:pPr>
    </w:lvl>
    <w:lvl w:ilvl="5" w:tentative="0">
      <w:start w:val="1"/>
      <w:numFmt w:val="lowerRoman"/>
      <w:lvlText w:val="%6."/>
      <w:lvlJc w:val="right"/>
      <w:pPr>
        <w:tabs>
          <w:tab w:val="left" w:pos="15852"/>
        </w:tabs>
        <w:ind w:left="15852" w:hanging="420"/>
      </w:pPr>
    </w:lvl>
    <w:lvl w:ilvl="6" w:tentative="0">
      <w:start w:val="1"/>
      <w:numFmt w:val="decimal"/>
      <w:lvlText w:val="%7."/>
      <w:lvlJc w:val="left"/>
      <w:pPr>
        <w:tabs>
          <w:tab w:val="left" w:pos="16272"/>
        </w:tabs>
        <w:ind w:left="16272" w:hanging="420"/>
      </w:pPr>
    </w:lvl>
    <w:lvl w:ilvl="7" w:tentative="0">
      <w:start w:val="1"/>
      <w:numFmt w:val="lowerLetter"/>
      <w:lvlText w:val="%8)"/>
      <w:lvlJc w:val="left"/>
      <w:pPr>
        <w:tabs>
          <w:tab w:val="left" w:pos="16692"/>
        </w:tabs>
        <w:ind w:left="16692" w:hanging="420"/>
      </w:pPr>
    </w:lvl>
    <w:lvl w:ilvl="8" w:tentative="0">
      <w:start w:val="1"/>
      <w:numFmt w:val="lowerRoman"/>
      <w:lvlText w:val="%9."/>
      <w:lvlJc w:val="right"/>
      <w:pPr>
        <w:tabs>
          <w:tab w:val="left" w:pos="17112"/>
        </w:tabs>
        <w:ind w:left="17112"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0"/>
      <w:suff w:val="nothing"/>
      <w:lvlText w:val="%1%2.%3　"/>
      <w:lvlJc w:val="left"/>
      <w:pPr>
        <w:ind w:left="0" w:firstLine="0"/>
      </w:pPr>
    </w:lvl>
    <w:lvl w:ilvl="3" w:tentative="0">
      <w:start w:val="1"/>
      <w:numFmt w:val="decimal"/>
      <w:pStyle w:val="119"/>
      <w:suff w:val="nothing"/>
      <w:lvlText w:val="%1%2.%3.%4　"/>
      <w:lvlJc w:val="left"/>
      <w:pPr>
        <w:ind w:left="0" w:firstLine="0"/>
      </w:pPr>
    </w:lvl>
    <w:lvl w:ilvl="4" w:tentative="0">
      <w:start w:val="1"/>
      <w:numFmt w:val="decimal"/>
      <w:pStyle w:val="154"/>
      <w:suff w:val="nothing"/>
      <w:lvlText w:val="%1%2.%3.%4.%5　"/>
      <w:lvlJc w:val="left"/>
      <w:pPr>
        <w:ind w:left="0" w:firstLine="0"/>
      </w:pPr>
    </w:lvl>
    <w:lvl w:ilvl="5" w:tentative="0">
      <w:start w:val="1"/>
      <w:numFmt w:val="decimal"/>
      <w:pStyle w:val="156"/>
      <w:suff w:val="nothing"/>
      <w:lvlText w:val="%1%2.%3.%4.%5.%6　"/>
      <w:lvlJc w:val="left"/>
      <w:pPr>
        <w:ind w:left="0" w:firstLine="0"/>
      </w:pPr>
    </w:lvl>
    <w:lvl w:ilvl="6" w:tentative="0">
      <w:start w:val="1"/>
      <w:numFmt w:val="decimal"/>
      <w:pStyle w:val="159"/>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1"/>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0"/>
      <w:lvlText w:val="%1"/>
      <w:lvlJc w:val="left"/>
      <w:pPr>
        <w:ind w:left="425" w:hanging="425"/>
      </w:pPr>
      <w:rPr>
        <w:rFonts w:hint="eastAsia"/>
      </w:rPr>
    </w:lvl>
    <w:lvl w:ilvl="1" w:tentative="0">
      <w:start w:val="1"/>
      <w:numFmt w:val="decimal"/>
      <w:pStyle w:val="201"/>
      <w:suff w:val="nothing"/>
      <w:lvlText w:val="%10.%2 "/>
      <w:lvlJc w:val="left"/>
      <w:pPr>
        <w:ind w:left="0" w:firstLine="0"/>
      </w:pPr>
      <w:rPr>
        <w:rFonts w:hint="eastAsia" w:ascii="黑体" w:eastAsia="黑体" w:hAnsiTheme="minorHAnsi"/>
        <w:b w:val="0"/>
        <w:i w:val="0"/>
        <w:sz w:val="21"/>
      </w:rPr>
    </w:lvl>
    <w:lvl w:ilvl="2" w:tentative="0">
      <w:start w:val="1"/>
      <w:numFmt w:val="decimal"/>
      <w:pStyle w:val="202"/>
      <w:suff w:val="nothing"/>
      <w:lvlText w:val="%10.%2.%3 "/>
      <w:lvlJc w:val="left"/>
      <w:pPr>
        <w:ind w:left="0" w:firstLine="0"/>
      </w:pPr>
      <w:rPr>
        <w:rFonts w:hint="eastAsia" w:ascii="黑体" w:eastAsia="黑体" w:hAnsiTheme="minorHAnsi"/>
        <w:b w:val="0"/>
        <w:i w:val="0"/>
        <w:sz w:val="21"/>
      </w:rPr>
    </w:lvl>
    <w:lvl w:ilvl="3" w:tentative="0">
      <w:start w:val="1"/>
      <w:numFmt w:val="decimal"/>
      <w:pStyle w:val="203"/>
      <w:suff w:val="nothing"/>
      <w:lvlText w:val="%10.%2.%3.%4 "/>
      <w:lvlJc w:val="left"/>
      <w:pPr>
        <w:ind w:left="0" w:firstLine="0"/>
      </w:pPr>
      <w:rPr>
        <w:rFonts w:hint="eastAsia" w:ascii="黑体" w:eastAsia="黑体" w:hAnsiTheme="minorHAnsi"/>
        <w:b w:val="0"/>
        <w:i w:val="0"/>
        <w:sz w:val="21"/>
      </w:rPr>
    </w:lvl>
    <w:lvl w:ilvl="4" w:tentative="0">
      <w:start w:val="1"/>
      <w:numFmt w:val="decimal"/>
      <w:pStyle w:val="204"/>
      <w:suff w:val="nothing"/>
      <w:lvlText w:val="%10.%2.%3.%4.%5 "/>
      <w:lvlJc w:val="left"/>
      <w:pPr>
        <w:ind w:left="0" w:firstLine="0"/>
      </w:pPr>
      <w:rPr>
        <w:rFonts w:hint="eastAsia" w:ascii="黑体" w:eastAsia="黑体" w:hAnsiTheme="minorHAnsi"/>
        <w:b w:val="0"/>
        <w:i w:val="0"/>
        <w:sz w:val="21"/>
      </w:rPr>
    </w:lvl>
    <w:lvl w:ilvl="5" w:tentative="0">
      <w:start w:val="1"/>
      <w:numFmt w:val="decimal"/>
      <w:pStyle w:val="205"/>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2"/>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8"/>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1"/>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6"/>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3"/>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3"/>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8"/>
      <w:lvlText w:val=""/>
      <w:lvlJc w:val="left"/>
      <w:pPr>
        <w:ind w:left="851" w:hanging="431"/>
      </w:pPr>
      <w:rPr>
        <w:rFonts w:hint="default" w:ascii="Symbol" w:hAnsi="Symbol"/>
        <w:sz w:val="21"/>
      </w:rPr>
    </w:lvl>
    <w:lvl w:ilvl="2" w:tentative="0">
      <w:start w:val="1"/>
      <w:numFmt w:val="bullet"/>
      <w:pStyle w:val="173"/>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2"/>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5"/>
      <w:lvlText w:val="%1)"/>
      <w:lvlJc w:val="left"/>
      <w:pPr>
        <w:tabs>
          <w:tab w:val="left" w:pos="851"/>
        </w:tabs>
        <w:ind w:left="851" w:hanging="426"/>
      </w:pPr>
      <w:rPr>
        <w:rFonts w:hint="eastAsia" w:ascii="宋体" w:hAnsi="Times New Roman" w:eastAsia="宋体"/>
        <w:sz w:val="21"/>
      </w:rPr>
    </w:lvl>
    <w:lvl w:ilvl="1" w:tentative="0">
      <w:start w:val="1"/>
      <w:numFmt w:val="decimal"/>
      <w:pStyle w:val="110"/>
      <w:lvlText w:val="%2)"/>
      <w:lvlJc w:val="left"/>
      <w:pPr>
        <w:tabs>
          <w:tab w:val="left" w:pos="1276"/>
        </w:tabs>
        <w:ind w:left="1276" w:hanging="425"/>
      </w:pPr>
      <w:rPr>
        <w:rFonts w:hint="eastAsia" w:ascii="宋体" w:hAnsi="Times New Roman" w:eastAsia="宋体"/>
        <w:sz w:val="21"/>
      </w:rPr>
    </w:lvl>
    <w:lvl w:ilvl="2" w:tentative="0">
      <w:start w:val="1"/>
      <w:numFmt w:val="decimal"/>
      <w:pStyle w:val="118"/>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9"/>
      <w:lvlText w:val="%1"/>
      <w:lvlJc w:val="left"/>
      <w:pPr>
        <w:ind w:left="420" w:hanging="420"/>
      </w:pPr>
      <w:rPr>
        <w:rFonts w:hint="eastAsia"/>
      </w:rPr>
    </w:lvl>
    <w:lvl w:ilvl="1" w:tentative="0">
      <w:start w:val="1"/>
      <w:numFmt w:val="decimal"/>
      <w:pStyle w:val="84"/>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4"/>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7"/>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4"/>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5"/>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0"/>
      <w:suff w:val="space"/>
      <w:lvlText w:val="%1"/>
      <w:lvlJc w:val="left"/>
      <w:pPr>
        <w:ind w:left="425" w:hanging="425"/>
      </w:pPr>
      <w:rPr>
        <w:rFonts w:hint="eastAsia"/>
      </w:rPr>
    </w:lvl>
    <w:lvl w:ilvl="1" w:tentative="0">
      <w:start w:val="1"/>
      <w:numFmt w:val="decimal"/>
      <w:pStyle w:val="78"/>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2"/>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3"/>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90"/>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7"/>
      <w:suff w:val="nothing"/>
      <w:lvlText w:val="附录%1"/>
      <w:lvlJc w:val="left"/>
      <w:pPr>
        <w:ind w:left="0" w:firstLine="0"/>
      </w:pPr>
      <w:rPr>
        <w:rFonts w:hint="eastAsia"/>
        <w:spacing w:val="100"/>
      </w:rPr>
    </w:lvl>
    <w:lvl w:ilvl="1" w:tentative="0">
      <w:start w:val="1"/>
      <w:numFmt w:val="decimal"/>
      <w:pStyle w:val="79"/>
      <w:suff w:val="nothing"/>
      <w:lvlText w:val="%1.%2　"/>
      <w:lvlJc w:val="left"/>
      <w:pPr>
        <w:ind w:left="0" w:firstLine="0"/>
      </w:pPr>
      <w:rPr>
        <w:rFonts w:hint="eastAsia" w:ascii="黑体" w:eastAsia="黑体"/>
        <w:b w:val="0"/>
        <w:i w:val="0"/>
        <w:sz w:val="21"/>
      </w:rPr>
    </w:lvl>
    <w:lvl w:ilvl="2" w:tentative="0">
      <w:start w:val="1"/>
      <w:numFmt w:val="decimal"/>
      <w:pStyle w:val="80"/>
      <w:suff w:val="nothing"/>
      <w:lvlText w:val="%1.%2.%3　"/>
      <w:lvlJc w:val="left"/>
      <w:pPr>
        <w:ind w:left="0" w:firstLine="0"/>
      </w:pPr>
      <w:rPr>
        <w:rFonts w:hint="eastAsia" w:ascii="黑体" w:eastAsia="黑体"/>
        <w:b w:val="0"/>
        <w:i w:val="0"/>
        <w:sz w:val="21"/>
      </w:rPr>
    </w:lvl>
    <w:lvl w:ilvl="3" w:tentative="0">
      <w:start w:val="1"/>
      <w:numFmt w:val="decimal"/>
      <w:pStyle w:val="82"/>
      <w:suff w:val="nothing"/>
      <w:lvlText w:val="%1.%2.%3.%4　"/>
      <w:lvlJc w:val="left"/>
      <w:pPr>
        <w:ind w:left="0" w:firstLine="0"/>
      </w:pPr>
      <w:rPr>
        <w:rFonts w:hint="eastAsia" w:ascii="黑体" w:eastAsia="黑体"/>
        <w:b w:val="0"/>
        <w:i w:val="0"/>
        <w:sz w:val="21"/>
      </w:rPr>
    </w:lvl>
    <w:lvl w:ilvl="4" w:tentative="0">
      <w:start w:val="1"/>
      <w:numFmt w:val="decimal"/>
      <w:pStyle w:val="83"/>
      <w:suff w:val="nothing"/>
      <w:lvlText w:val="%1.%2.%3.%4.%5　"/>
      <w:lvlJc w:val="left"/>
      <w:pPr>
        <w:ind w:left="0" w:firstLine="0"/>
      </w:pPr>
      <w:rPr>
        <w:rFonts w:hint="eastAsia" w:ascii="黑体" w:eastAsia="黑体"/>
        <w:b w:val="0"/>
        <w:i w:val="0"/>
        <w:sz w:val="21"/>
      </w:rPr>
    </w:lvl>
    <w:lvl w:ilvl="5" w:tentative="0">
      <w:start w:val="1"/>
      <w:numFmt w:val="decimal"/>
      <w:pStyle w:val="85"/>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9"/>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8"/>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3"/>
      <w:suff w:val="nothing"/>
      <w:lvlText w:val="%1"/>
      <w:lvlJc w:val="left"/>
      <w:pPr>
        <w:ind w:left="0" w:firstLine="0"/>
      </w:pPr>
      <w:rPr>
        <w:rFonts w:hint="eastAsia"/>
      </w:rPr>
    </w:lvl>
    <w:lvl w:ilvl="1" w:tentative="0">
      <w:start w:val="1"/>
      <w:numFmt w:val="decimal"/>
      <w:pStyle w:val="105"/>
      <w:suff w:val="nothing"/>
      <w:lvlText w:val="%1%2　"/>
      <w:lvlJc w:val="left"/>
      <w:pPr>
        <w:ind w:left="0" w:firstLine="0"/>
      </w:pPr>
      <w:rPr>
        <w:rFonts w:hint="eastAsia" w:ascii="黑体" w:eastAsia="黑体"/>
        <w:b w:val="0"/>
        <w:i w:val="0"/>
        <w:sz w:val="21"/>
      </w:rPr>
    </w:lvl>
    <w:lvl w:ilvl="2" w:tentative="0">
      <w:start w:val="1"/>
      <w:numFmt w:val="decimal"/>
      <w:pStyle w:val="224"/>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6"/>
      <w:suff w:val="nothing"/>
      <w:lvlText w:val="%1%2.%3.%4　"/>
      <w:lvlJc w:val="left"/>
      <w:pPr>
        <w:ind w:left="0" w:firstLine="0"/>
      </w:pPr>
      <w:rPr>
        <w:rFonts w:hint="eastAsia" w:ascii="黑体" w:eastAsia="黑体"/>
        <w:b w:val="0"/>
        <w:i w:val="0"/>
        <w:sz w:val="21"/>
      </w:rPr>
    </w:lvl>
    <w:lvl w:ilvl="4" w:tentative="0">
      <w:start w:val="1"/>
      <w:numFmt w:val="decimal"/>
      <w:pStyle w:val="95"/>
      <w:suff w:val="nothing"/>
      <w:lvlText w:val="%1%2.%3.%4.%5　"/>
      <w:lvlJc w:val="left"/>
      <w:pPr>
        <w:ind w:left="0" w:firstLine="0"/>
      </w:pPr>
      <w:rPr>
        <w:rFonts w:hint="eastAsia" w:ascii="黑体" w:eastAsia="黑体"/>
        <w:b w:val="0"/>
        <w:i w:val="0"/>
        <w:sz w:val="21"/>
      </w:rPr>
    </w:lvl>
    <w:lvl w:ilvl="5" w:tentative="0">
      <w:start w:val="1"/>
      <w:numFmt w:val="decimal"/>
      <w:pStyle w:val="99"/>
      <w:suff w:val="nothing"/>
      <w:lvlText w:val="%1%2.%3.%4.%5.%6　"/>
      <w:lvlJc w:val="left"/>
      <w:pPr>
        <w:ind w:left="0" w:firstLine="0"/>
      </w:pPr>
      <w:rPr>
        <w:rFonts w:hint="eastAsia" w:ascii="黑体" w:eastAsia="黑体"/>
        <w:b w:val="0"/>
        <w:i w:val="0"/>
        <w:sz w:val="21"/>
      </w:rPr>
    </w:lvl>
    <w:lvl w:ilvl="6" w:tentative="0">
      <w:start w:val="1"/>
      <w:numFmt w:val="decimal"/>
      <w:pStyle w:val="104"/>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80"/>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6"/>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40"/>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attachedTemplate r:id="rId1"/>
  <w:documentProtection w:edit="forms"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zY2EyZThlODZkZGI0MTdhODBmM2NlN2MzYTNjYmEifQ=="/>
  </w:docVars>
  <w:rsids>
    <w:rsidRoot w:val="00B63E8A"/>
    <w:rsid w:val="0000040A"/>
    <w:rsid w:val="00000A94"/>
    <w:rsid w:val="00001972"/>
    <w:rsid w:val="00001D9A"/>
    <w:rsid w:val="00007B3A"/>
    <w:rsid w:val="000107E0"/>
    <w:rsid w:val="000110D5"/>
    <w:rsid w:val="00011C6F"/>
    <w:rsid w:val="00011FDE"/>
    <w:rsid w:val="00012FFD"/>
    <w:rsid w:val="00014162"/>
    <w:rsid w:val="00014340"/>
    <w:rsid w:val="00016A9C"/>
    <w:rsid w:val="00017670"/>
    <w:rsid w:val="00022184"/>
    <w:rsid w:val="00022762"/>
    <w:rsid w:val="000238E0"/>
    <w:rsid w:val="000246BF"/>
    <w:rsid w:val="000249DB"/>
    <w:rsid w:val="000256AD"/>
    <w:rsid w:val="0002595E"/>
    <w:rsid w:val="000303C3"/>
    <w:rsid w:val="000331D3"/>
    <w:rsid w:val="000346A5"/>
    <w:rsid w:val="000359C3"/>
    <w:rsid w:val="00035A7D"/>
    <w:rsid w:val="000365ED"/>
    <w:rsid w:val="0004249A"/>
    <w:rsid w:val="00043282"/>
    <w:rsid w:val="00044286"/>
    <w:rsid w:val="000471F5"/>
    <w:rsid w:val="00047F28"/>
    <w:rsid w:val="000503AA"/>
    <w:rsid w:val="000506A1"/>
    <w:rsid w:val="000515DD"/>
    <w:rsid w:val="0005265A"/>
    <w:rsid w:val="000539DD"/>
    <w:rsid w:val="00053BD3"/>
    <w:rsid w:val="00054392"/>
    <w:rsid w:val="000556ED"/>
    <w:rsid w:val="00055FE2"/>
    <w:rsid w:val="0005616F"/>
    <w:rsid w:val="0005775F"/>
    <w:rsid w:val="00060C2E"/>
    <w:rsid w:val="00061033"/>
    <w:rsid w:val="000619E9"/>
    <w:rsid w:val="000622D4"/>
    <w:rsid w:val="0006357D"/>
    <w:rsid w:val="00063EFB"/>
    <w:rsid w:val="00064EDE"/>
    <w:rsid w:val="00065E89"/>
    <w:rsid w:val="00067F1E"/>
    <w:rsid w:val="00071CC0"/>
    <w:rsid w:val="00072D81"/>
    <w:rsid w:val="00073C8C"/>
    <w:rsid w:val="00077B64"/>
    <w:rsid w:val="00080A1C"/>
    <w:rsid w:val="00082317"/>
    <w:rsid w:val="0008384D"/>
    <w:rsid w:val="00083D2C"/>
    <w:rsid w:val="00086AA1"/>
    <w:rsid w:val="00087A77"/>
    <w:rsid w:val="00090CA6"/>
    <w:rsid w:val="00092B8A"/>
    <w:rsid w:val="00092FB0"/>
    <w:rsid w:val="000934C5"/>
    <w:rsid w:val="00093D25"/>
    <w:rsid w:val="00093DAB"/>
    <w:rsid w:val="00094440"/>
    <w:rsid w:val="00094D73"/>
    <w:rsid w:val="00096728"/>
    <w:rsid w:val="00096D63"/>
    <w:rsid w:val="000A0B60"/>
    <w:rsid w:val="000A0EB8"/>
    <w:rsid w:val="000A19FC"/>
    <w:rsid w:val="000A1F07"/>
    <w:rsid w:val="000A296B"/>
    <w:rsid w:val="000A7311"/>
    <w:rsid w:val="000A7443"/>
    <w:rsid w:val="000B060F"/>
    <w:rsid w:val="000B1592"/>
    <w:rsid w:val="000B1FF2"/>
    <w:rsid w:val="000B3CDA"/>
    <w:rsid w:val="000B6A0B"/>
    <w:rsid w:val="000C0F6C"/>
    <w:rsid w:val="000C11DB"/>
    <w:rsid w:val="000C1492"/>
    <w:rsid w:val="000C2FBD"/>
    <w:rsid w:val="000C4B41"/>
    <w:rsid w:val="000C5780"/>
    <w:rsid w:val="000C57D6"/>
    <w:rsid w:val="000C6362"/>
    <w:rsid w:val="000C7666"/>
    <w:rsid w:val="000D0A9C"/>
    <w:rsid w:val="000D1795"/>
    <w:rsid w:val="000D329A"/>
    <w:rsid w:val="000D4B9C"/>
    <w:rsid w:val="000D4EB6"/>
    <w:rsid w:val="000D753B"/>
    <w:rsid w:val="000E4C9E"/>
    <w:rsid w:val="000E6FD7"/>
    <w:rsid w:val="000E7CE3"/>
    <w:rsid w:val="000F06E1"/>
    <w:rsid w:val="000F0E03"/>
    <w:rsid w:val="000F0E3C"/>
    <w:rsid w:val="000F19D5"/>
    <w:rsid w:val="000F4AEA"/>
    <w:rsid w:val="000F633F"/>
    <w:rsid w:val="000F67E9"/>
    <w:rsid w:val="00104926"/>
    <w:rsid w:val="00113B1E"/>
    <w:rsid w:val="0011711C"/>
    <w:rsid w:val="0012059C"/>
    <w:rsid w:val="00124E4F"/>
    <w:rsid w:val="001260B7"/>
    <w:rsid w:val="001265CB"/>
    <w:rsid w:val="00126E05"/>
    <w:rsid w:val="001321C6"/>
    <w:rsid w:val="001325C4"/>
    <w:rsid w:val="00133010"/>
    <w:rsid w:val="001338EE"/>
    <w:rsid w:val="00133AAE"/>
    <w:rsid w:val="00133ED9"/>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42FA"/>
    <w:rsid w:val="001649EB"/>
    <w:rsid w:val="00164BAF"/>
    <w:rsid w:val="00164FA8"/>
    <w:rsid w:val="00165065"/>
    <w:rsid w:val="00165434"/>
    <w:rsid w:val="0016580B"/>
    <w:rsid w:val="00165F49"/>
    <w:rsid w:val="001663A2"/>
    <w:rsid w:val="00166B88"/>
    <w:rsid w:val="0016770A"/>
    <w:rsid w:val="00170804"/>
    <w:rsid w:val="001708E9"/>
    <w:rsid w:val="00172669"/>
    <w:rsid w:val="0017340B"/>
    <w:rsid w:val="00173FB1"/>
    <w:rsid w:val="00176DFD"/>
    <w:rsid w:val="001852C9"/>
    <w:rsid w:val="00190087"/>
    <w:rsid w:val="001913C4"/>
    <w:rsid w:val="0019348F"/>
    <w:rsid w:val="00193A07"/>
    <w:rsid w:val="00194C95"/>
    <w:rsid w:val="00195C34"/>
    <w:rsid w:val="00196443"/>
    <w:rsid w:val="00196EF5"/>
    <w:rsid w:val="001A1A53"/>
    <w:rsid w:val="001A234A"/>
    <w:rsid w:val="001A4CF3"/>
    <w:rsid w:val="001B06E8"/>
    <w:rsid w:val="001B71D0"/>
    <w:rsid w:val="001B71EE"/>
    <w:rsid w:val="001B7802"/>
    <w:rsid w:val="001C04A8"/>
    <w:rsid w:val="001C2C03"/>
    <w:rsid w:val="001C42F7"/>
    <w:rsid w:val="001C49E5"/>
    <w:rsid w:val="001C680C"/>
    <w:rsid w:val="001C7FEA"/>
    <w:rsid w:val="001D0499"/>
    <w:rsid w:val="001D0BBE"/>
    <w:rsid w:val="001D0ED4"/>
    <w:rsid w:val="001D212F"/>
    <w:rsid w:val="001D29D7"/>
    <w:rsid w:val="001D2DE7"/>
    <w:rsid w:val="001D411C"/>
    <w:rsid w:val="001D70D5"/>
    <w:rsid w:val="001E1B6A"/>
    <w:rsid w:val="001E2484"/>
    <w:rsid w:val="001E3CC4"/>
    <w:rsid w:val="001E4882"/>
    <w:rsid w:val="001E6115"/>
    <w:rsid w:val="001E73AB"/>
    <w:rsid w:val="001F092D"/>
    <w:rsid w:val="001F0E72"/>
    <w:rsid w:val="001F143A"/>
    <w:rsid w:val="001F1605"/>
    <w:rsid w:val="001F18E6"/>
    <w:rsid w:val="001F2508"/>
    <w:rsid w:val="001F40C3"/>
    <w:rsid w:val="001F4816"/>
    <w:rsid w:val="001F4EE9"/>
    <w:rsid w:val="001F69B4"/>
    <w:rsid w:val="001F77C7"/>
    <w:rsid w:val="00200183"/>
    <w:rsid w:val="00200333"/>
    <w:rsid w:val="0020107D"/>
    <w:rsid w:val="00202AA4"/>
    <w:rsid w:val="002031F7"/>
    <w:rsid w:val="002040E6"/>
    <w:rsid w:val="0020527B"/>
    <w:rsid w:val="00205F2C"/>
    <w:rsid w:val="00210537"/>
    <w:rsid w:val="00210B15"/>
    <w:rsid w:val="002142EA"/>
    <w:rsid w:val="002204BB"/>
    <w:rsid w:val="00221B79"/>
    <w:rsid w:val="00221C6B"/>
    <w:rsid w:val="002253A1"/>
    <w:rsid w:val="00225CF8"/>
    <w:rsid w:val="0022794E"/>
    <w:rsid w:val="00233D64"/>
    <w:rsid w:val="0023482A"/>
    <w:rsid w:val="002359CB"/>
    <w:rsid w:val="002401E4"/>
    <w:rsid w:val="00243540"/>
    <w:rsid w:val="0024497B"/>
    <w:rsid w:val="0024515B"/>
    <w:rsid w:val="00246021"/>
    <w:rsid w:val="0024666E"/>
    <w:rsid w:val="002473DA"/>
    <w:rsid w:val="00247F52"/>
    <w:rsid w:val="00250B25"/>
    <w:rsid w:val="00250BBE"/>
    <w:rsid w:val="002515C2"/>
    <w:rsid w:val="0025194F"/>
    <w:rsid w:val="002565AC"/>
    <w:rsid w:val="002578FC"/>
    <w:rsid w:val="0026061F"/>
    <w:rsid w:val="00260D7A"/>
    <w:rsid w:val="002613FD"/>
    <w:rsid w:val="0026148A"/>
    <w:rsid w:val="00262696"/>
    <w:rsid w:val="002636B4"/>
    <w:rsid w:val="00263D25"/>
    <w:rsid w:val="002643C3"/>
    <w:rsid w:val="00264A0C"/>
    <w:rsid w:val="00266EEB"/>
    <w:rsid w:val="00267A99"/>
    <w:rsid w:val="00267EF4"/>
    <w:rsid w:val="00270CB8"/>
    <w:rsid w:val="00272B08"/>
    <w:rsid w:val="00272F9C"/>
    <w:rsid w:val="00274C83"/>
    <w:rsid w:val="002771AC"/>
    <w:rsid w:val="00281BB8"/>
    <w:rsid w:val="00281C1F"/>
    <w:rsid w:val="00281E9E"/>
    <w:rsid w:val="00282405"/>
    <w:rsid w:val="00285170"/>
    <w:rsid w:val="00285361"/>
    <w:rsid w:val="002873D2"/>
    <w:rsid w:val="00292D60"/>
    <w:rsid w:val="00293B30"/>
    <w:rsid w:val="00294D34"/>
    <w:rsid w:val="00294E3B"/>
    <w:rsid w:val="00296193"/>
    <w:rsid w:val="00296C66"/>
    <w:rsid w:val="00296EBE"/>
    <w:rsid w:val="002970D5"/>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D7E90"/>
    <w:rsid w:val="002E039D"/>
    <w:rsid w:val="002E0811"/>
    <w:rsid w:val="002E4D5A"/>
    <w:rsid w:val="002E6326"/>
    <w:rsid w:val="002F20C0"/>
    <w:rsid w:val="002F30E0"/>
    <w:rsid w:val="002F35E4"/>
    <w:rsid w:val="002F3730"/>
    <w:rsid w:val="002F38E1"/>
    <w:rsid w:val="002F7AF6"/>
    <w:rsid w:val="002F7E82"/>
    <w:rsid w:val="00300E63"/>
    <w:rsid w:val="00302B34"/>
    <w:rsid w:val="00302F5F"/>
    <w:rsid w:val="003041CD"/>
    <w:rsid w:val="0030441D"/>
    <w:rsid w:val="00306063"/>
    <w:rsid w:val="00307B57"/>
    <w:rsid w:val="00310025"/>
    <w:rsid w:val="00311667"/>
    <w:rsid w:val="00313B85"/>
    <w:rsid w:val="00317988"/>
    <w:rsid w:val="003221B4"/>
    <w:rsid w:val="0032258D"/>
    <w:rsid w:val="00322E62"/>
    <w:rsid w:val="003235D0"/>
    <w:rsid w:val="00324D13"/>
    <w:rsid w:val="00324D2A"/>
    <w:rsid w:val="00324EDD"/>
    <w:rsid w:val="003331E4"/>
    <w:rsid w:val="00334FD8"/>
    <w:rsid w:val="00336C64"/>
    <w:rsid w:val="00337162"/>
    <w:rsid w:val="0034194F"/>
    <w:rsid w:val="00344605"/>
    <w:rsid w:val="003474AA"/>
    <w:rsid w:val="00350587"/>
    <w:rsid w:val="00350D1D"/>
    <w:rsid w:val="00351589"/>
    <w:rsid w:val="00352C83"/>
    <w:rsid w:val="003615D2"/>
    <w:rsid w:val="003633B3"/>
    <w:rsid w:val="0036429C"/>
    <w:rsid w:val="00364A53"/>
    <w:rsid w:val="003654CB"/>
    <w:rsid w:val="00365AA9"/>
    <w:rsid w:val="00365F86"/>
    <w:rsid w:val="00365F87"/>
    <w:rsid w:val="00366E89"/>
    <w:rsid w:val="003705F4"/>
    <w:rsid w:val="00370D58"/>
    <w:rsid w:val="00371316"/>
    <w:rsid w:val="003743BC"/>
    <w:rsid w:val="00376713"/>
    <w:rsid w:val="0038088D"/>
    <w:rsid w:val="00381815"/>
    <w:rsid w:val="003819AF"/>
    <w:rsid w:val="003820E9"/>
    <w:rsid w:val="00382DE7"/>
    <w:rsid w:val="00384E24"/>
    <w:rsid w:val="00384FFC"/>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1AF3"/>
    <w:rsid w:val="003A4077"/>
    <w:rsid w:val="003A7C15"/>
    <w:rsid w:val="003B09AD"/>
    <w:rsid w:val="003B1F18"/>
    <w:rsid w:val="003B3145"/>
    <w:rsid w:val="003B5BF0"/>
    <w:rsid w:val="003B60BF"/>
    <w:rsid w:val="003B6BE3"/>
    <w:rsid w:val="003C010C"/>
    <w:rsid w:val="003C0A6C"/>
    <w:rsid w:val="003C14F8"/>
    <w:rsid w:val="003C4A52"/>
    <w:rsid w:val="003C5A43"/>
    <w:rsid w:val="003C7F79"/>
    <w:rsid w:val="003D0519"/>
    <w:rsid w:val="003D0FF6"/>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6272"/>
    <w:rsid w:val="003F7750"/>
    <w:rsid w:val="00400E72"/>
    <w:rsid w:val="00401305"/>
    <w:rsid w:val="00401400"/>
    <w:rsid w:val="00402704"/>
    <w:rsid w:val="00404869"/>
    <w:rsid w:val="00405884"/>
    <w:rsid w:val="00406004"/>
    <w:rsid w:val="00407D39"/>
    <w:rsid w:val="0041477A"/>
    <w:rsid w:val="004167A3"/>
    <w:rsid w:val="00431BA2"/>
    <w:rsid w:val="00432DAA"/>
    <w:rsid w:val="00434305"/>
    <w:rsid w:val="00434C4B"/>
    <w:rsid w:val="00435DF7"/>
    <w:rsid w:val="0044083F"/>
    <w:rsid w:val="00441AE7"/>
    <w:rsid w:val="0044346B"/>
    <w:rsid w:val="00445574"/>
    <w:rsid w:val="004467FB"/>
    <w:rsid w:val="00452D6B"/>
    <w:rsid w:val="00454484"/>
    <w:rsid w:val="0045517B"/>
    <w:rsid w:val="00457038"/>
    <w:rsid w:val="00460FE9"/>
    <w:rsid w:val="0046101B"/>
    <w:rsid w:val="00463B77"/>
    <w:rsid w:val="00463C7B"/>
    <w:rsid w:val="004644A6"/>
    <w:rsid w:val="00464D2C"/>
    <w:rsid w:val="004659BD"/>
    <w:rsid w:val="00470775"/>
    <w:rsid w:val="00472B7F"/>
    <w:rsid w:val="004734AE"/>
    <w:rsid w:val="004746B1"/>
    <w:rsid w:val="0047583F"/>
    <w:rsid w:val="00475DE8"/>
    <w:rsid w:val="004817A4"/>
    <w:rsid w:val="00481C44"/>
    <w:rsid w:val="00484936"/>
    <w:rsid w:val="00484E17"/>
    <w:rsid w:val="00485C89"/>
    <w:rsid w:val="00486BE3"/>
    <w:rsid w:val="004905E4"/>
    <w:rsid w:val="00490A89"/>
    <w:rsid w:val="00490AB4"/>
    <w:rsid w:val="00492F02"/>
    <w:rsid w:val="004939AE"/>
    <w:rsid w:val="004A12DF"/>
    <w:rsid w:val="004A17E6"/>
    <w:rsid w:val="004A1BA8"/>
    <w:rsid w:val="004A4B57"/>
    <w:rsid w:val="004A5C8F"/>
    <w:rsid w:val="004A63FA"/>
    <w:rsid w:val="004B0272"/>
    <w:rsid w:val="004B2701"/>
    <w:rsid w:val="004B2BA5"/>
    <w:rsid w:val="004B2E1B"/>
    <w:rsid w:val="004B3AA8"/>
    <w:rsid w:val="004B3E93"/>
    <w:rsid w:val="004C1FBC"/>
    <w:rsid w:val="004C3F1D"/>
    <w:rsid w:val="004C458D"/>
    <w:rsid w:val="004C4848"/>
    <w:rsid w:val="004C4BF6"/>
    <w:rsid w:val="004C589D"/>
    <w:rsid w:val="004C7556"/>
    <w:rsid w:val="004C7E8B"/>
    <w:rsid w:val="004C7E9D"/>
    <w:rsid w:val="004C7F67"/>
    <w:rsid w:val="004D076D"/>
    <w:rsid w:val="004D0EF1"/>
    <w:rsid w:val="004D2253"/>
    <w:rsid w:val="004D4406"/>
    <w:rsid w:val="004D4E5A"/>
    <w:rsid w:val="004D7C42"/>
    <w:rsid w:val="004E0465"/>
    <w:rsid w:val="004E127B"/>
    <w:rsid w:val="004E1C0A"/>
    <w:rsid w:val="004E2B06"/>
    <w:rsid w:val="004E30C5"/>
    <w:rsid w:val="004E4AA5"/>
    <w:rsid w:val="004E4AEE"/>
    <w:rsid w:val="004E54D4"/>
    <w:rsid w:val="004E59E3"/>
    <w:rsid w:val="004E67C0"/>
    <w:rsid w:val="004F391A"/>
    <w:rsid w:val="004F3CFB"/>
    <w:rsid w:val="004F6456"/>
    <w:rsid w:val="004F696E"/>
    <w:rsid w:val="004F6C71"/>
    <w:rsid w:val="0050024B"/>
    <w:rsid w:val="00501139"/>
    <w:rsid w:val="0050363E"/>
    <w:rsid w:val="005039BC"/>
    <w:rsid w:val="005043BB"/>
    <w:rsid w:val="00504A3D"/>
    <w:rsid w:val="00505767"/>
    <w:rsid w:val="005073F0"/>
    <w:rsid w:val="00510A7B"/>
    <w:rsid w:val="00512F6E"/>
    <w:rsid w:val="00513038"/>
    <w:rsid w:val="00514174"/>
    <w:rsid w:val="00516088"/>
    <w:rsid w:val="00516943"/>
    <w:rsid w:val="00516B0B"/>
    <w:rsid w:val="005220EC"/>
    <w:rsid w:val="00523449"/>
    <w:rsid w:val="00523F95"/>
    <w:rsid w:val="00524B74"/>
    <w:rsid w:val="00524D65"/>
    <w:rsid w:val="00525B16"/>
    <w:rsid w:val="00533D04"/>
    <w:rsid w:val="00534804"/>
    <w:rsid w:val="00534BDF"/>
    <w:rsid w:val="00535499"/>
    <w:rsid w:val="005354EA"/>
    <w:rsid w:val="0053585F"/>
    <w:rsid w:val="00535EC4"/>
    <w:rsid w:val="00535ED9"/>
    <w:rsid w:val="0053692B"/>
    <w:rsid w:val="00541853"/>
    <w:rsid w:val="00543BDA"/>
    <w:rsid w:val="005441CC"/>
    <w:rsid w:val="005452BC"/>
    <w:rsid w:val="005479DA"/>
    <w:rsid w:val="00547BCC"/>
    <w:rsid w:val="0055013B"/>
    <w:rsid w:val="00551F6F"/>
    <w:rsid w:val="00553E47"/>
    <w:rsid w:val="00555044"/>
    <w:rsid w:val="005568F0"/>
    <w:rsid w:val="00561475"/>
    <w:rsid w:val="0056487B"/>
    <w:rsid w:val="00564F49"/>
    <w:rsid w:val="00564FB9"/>
    <w:rsid w:val="005651F8"/>
    <w:rsid w:val="00572058"/>
    <w:rsid w:val="00573D9E"/>
    <w:rsid w:val="005801E3"/>
    <w:rsid w:val="00581802"/>
    <w:rsid w:val="00581E79"/>
    <w:rsid w:val="005836A8"/>
    <w:rsid w:val="0058409C"/>
    <w:rsid w:val="00584262"/>
    <w:rsid w:val="005860D7"/>
    <w:rsid w:val="00586630"/>
    <w:rsid w:val="00587ADD"/>
    <w:rsid w:val="00591E27"/>
    <w:rsid w:val="00593ADF"/>
    <w:rsid w:val="00595656"/>
    <w:rsid w:val="00596160"/>
    <w:rsid w:val="005966E2"/>
    <w:rsid w:val="00597007"/>
    <w:rsid w:val="005A0966"/>
    <w:rsid w:val="005A11B7"/>
    <w:rsid w:val="005A260B"/>
    <w:rsid w:val="005A4A1B"/>
    <w:rsid w:val="005A519A"/>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D79D3"/>
    <w:rsid w:val="005E2335"/>
    <w:rsid w:val="005E34CA"/>
    <w:rsid w:val="005E3C18"/>
    <w:rsid w:val="005E5718"/>
    <w:rsid w:val="005E6812"/>
    <w:rsid w:val="005E7881"/>
    <w:rsid w:val="005E78E0"/>
    <w:rsid w:val="005F0D9C"/>
    <w:rsid w:val="005F284E"/>
    <w:rsid w:val="005F4712"/>
    <w:rsid w:val="00600656"/>
    <w:rsid w:val="006015CE"/>
    <w:rsid w:val="00604784"/>
    <w:rsid w:val="0060577F"/>
    <w:rsid w:val="00606419"/>
    <w:rsid w:val="00606673"/>
    <w:rsid w:val="00607D29"/>
    <w:rsid w:val="006126AB"/>
    <w:rsid w:val="00612952"/>
    <w:rsid w:val="00614CC1"/>
    <w:rsid w:val="00615A9D"/>
    <w:rsid w:val="00617387"/>
    <w:rsid w:val="00617FBE"/>
    <w:rsid w:val="006205D6"/>
    <w:rsid w:val="00621CB7"/>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0954"/>
    <w:rsid w:val="00672060"/>
    <w:rsid w:val="00672BFD"/>
    <w:rsid w:val="006770F4"/>
    <w:rsid w:val="00677A84"/>
    <w:rsid w:val="0068026D"/>
    <w:rsid w:val="00680A27"/>
    <w:rsid w:val="006816A4"/>
    <w:rsid w:val="006819B8"/>
    <w:rsid w:val="006840A6"/>
    <w:rsid w:val="00684405"/>
    <w:rsid w:val="006850CD"/>
    <w:rsid w:val="00685AAB"/>
    <w:rsid w:val="006919EA"/>
    <w:rsid w:val="00695D22"/>
    <w:rsid w:val="006A07AA"/>
    <w:rsid w:val="006A25E5"/>
    <w:rsid w:val="006A2B46"/>
    <w:rsid w:val="006A336D"/>
    <w:rsid w:val="006A37B9"/>
    <w:rsid w:val="006A4320"/>
    <w:rsid w:val="006B1D0B"/>
    <w:rsid w:val="006B2672"/>
    <w:rsid w:val="006B54BF"/>
    <w:rsid w:val="006B5F44"/>
    <w:rsid w:val="006B5F90"/>
    <w:rsid w:val="006B62E4"/>
    <w:rsid w:val="006B6B04"/>
    <w:rsid w:val="006C1BBA"/>
    <w:rsid w:val="006C2079"/>
    <w:rsid w:val="006C5A62"/>
    <w:rsid w:val="006C5D68"/>
    <w:rsid w:val="006C6976"/>
    <w:rsid w:val="006C6DD0"/>
    <w:rsid w:val="006D04EA"/>
    <w:rsid w:val="006D0AB7"/>
    <w:rsid w:val="006D16C4"/>
    <w:rsid w:val="006D3E96"/>
    <w:rsid w:val="006D4515"/>
    <w:rsid w:val="006D4BB1"/>
    <w:rsid w:val="006D6593"/>
    <w:rsid w:val="006D707E"/>
    <w:rsid w:val="006E0A93"/>
    <w:rsid w:val="006E23EA"/>
    <w:rsid w:val="006E5F9D"/>
    <w:rsid w:val="006F03A8"/>
    <w:rsid w:val="006F2ACA"/>
    <w:rsid w:val="006F2ADC"/>
    <w:rsid w:val="006F2BFE"/>
    <w:rsid w:val="006F31E9"/>
    <w:rsid w:val="006F6284"/>
    <w:rsid w:val="007002C5"/>
    <w:rsid w:val="00702891"/>
    <w:rsid w:val="00704387"/>
    <w:rsid w:val="0070501D"/>
    <w:rsid w:val="00707669"/>
    <w:rsid w:val="00711CBA"/>
    <w:rsid w:val="00711FB5"/>
    <w:rsid w:val="00712822"/>
    <w:rsid w:val="00712A01"/>
    <w:rsid w:val="00714F58"/>
    <w:rsid w:val="00722FBF"/>
    <w:rsid w:val="00722FC2"/>
    <w:rsid w:val="00724879"/>
    <w:rsid w:val="00724C1D"/>
    <w:rsid w:val="00724E1B"/>
    <w:rsid w:val="00725949"/>
    <w:rsid w:val="00727FA2"/>
    <w:rsid w:val="007322D9"/>
    <w:rsid w:val="00732BC0"/>
    <w:rsid w:val="0073720F"/>
    <w:rsid w:val="00737796"/>
    <w:rsid w:val="0074165C"/>
    <w:rsid w:val="00741869"/>
    <w:rsid w:val="00742C35"/>
    <w:rsid w:val="007432CA"/>
    <w:rsid w:val="007439EB"/>
    <w:rsid w:val="00743CB4"/>
    <w:rsid w:val="00743F0A"/>
    <w:rsid w:val="007444E8"/>
    <w:rsid w:val="00745093"/>
    <w:rsid w:val="0074548E"/>
    <w:rsid w:val="00745773"/>
    <w:rsid w:val="00745835"/>
    <w:rsid w:val="00746800"/>
    <w:rsid w:val="007478F0"/>
    <w:rsid w:val="007501A8"/>
    <w:rsid w:val="00750D61"/>
    <w:rsid w:val="00750EE1"/>
    <w:rsid w:val="00752B4D"/>
    <w:rsid w:val="00755402"/>
    <w:rsid w:val="00756B26"/>
    <w:rsid w:val="00756EDF"/>
    <w:rsid w:val="007600E3"/>
    <w:rsid w:val="00765C43"/>
    <w:rsid w:val="00765EFB"/>
    <w:rsid w:val="007671CA"/>
    <w:rsid w:val="00767C61"/>
    <w:rsid w:val="0077008A"/>
    <w:rsid w:val="00770EDC"/>
    <w:rsid w:val="00773C1F"/>
    <w:rsid w:val="00774DA4"/>
    <w:rsid w:val="00776599"/>
    <w:rsid w:val="0077690A"/>
    <w:rsid w:val="0078114B"/>
    <w:rsid w:val="00781DD2"/>
    <w:rsid w:val="00783ECF"/>
    <w:rsid w:val="0078413A"/>
    <w:rsid w:val="007959E8"/>
    <w:rsid w:val="00795E9C"/>
    <w:rsid w:val="007A0521"/>
    <w:rsid w:val="007A066F"/>
    <w:rsid w:val="007A2E12"/>
    <w:rsid w:val="007A3475"/>
    <w:rsid w:val="007A41C8"/>
    <w:rsid w:val="007A4631"/>
    <w:rsid w:val="007A54CE"/>
    <w:rsid w:val="007A6FD9"/>
    <w:rsid w:val="007A7FFA"/>
    <w:rsid w:val="007B04EB"/>
    <w:rsid w:val="007B0D4F"/>
    <w:rsid w:val="007B0DEC"/>
    <w:rsid w:val="007B5A3D"/>
    <w:rsid w:val="007B5B95"/>
    <w:rsid w:val="007B68EA"/>
    <w:rsid w:val="007B7453"/>
    <w:rsid w:val="007C1E8B"/>
    <w:rsid w:val="007C2D89"/>
    <w:rsid w:val="007C4593"/>
    <w:rsid w:val="007C5309"/>
    <w:rsid w:val="007C6069"/>
    <w:rsid w:val="007D06C4"/>
    <w:rsid w:val="007D0971"/>
    <w:rsid w:val="007D1352"/>
    <w:rsid w:val="007D2508"/>
    <w:rsid w:val="007D346A"/>
    <w:rsid w:val="007D6518"/>
    <w:rsid w:val="007D76BD"/>
    <w:rsid w:val="007D7DE9"/>
    <w:rsid w:val="007E0BF1"/>
    <w:rsid w:val="007E3891"/>
    <w:rsid w:val="007F0ED8"/>
    <w:rsid w:val="007F0F63"/>
    <w:rsid w:val="007F75CE"/>
    <w:rsid w:val="0080023C"/>
    <w:rsid w:val="00800F88"/>
    <w:rsid w:val="008013A4"/>
    <w:rsid w:val="008027CE"/>
    <w:rsid w:val="00802F42"/>
    <w:rsid w:val="00804383"/>
    <w:rsid w:val="00804BB7"/>
    <w:rsid w:val="00804D41"/>
    <w:rsid w:val="00810257"/>
    <w:rsid w:val="008104F5"/>
    <w:rsid w:val="00810D0F"/>
    <w:rsid w:val="00811072"/>
    <w:rsid w:val="00811369"/>
    <w:rsid w:val="00815419"/>
    <w:rsid w:val="008163C8"/>
    <w:rsid w:val="008164A1"/>
    <w:rsid w:val="0081689F"/>
    <w:rsid w:val="00817325"/>
    <w:rsid w:val="008209E6"/>
    <w:rsid w:val="008229A6"/>
    <w:rsid w:val="008231D4"/>
    <w:rsid w:val="00823303"/>
    <w:rsid w:val="008233B2"/>
    <w:rsid w:val="00823A9F"/>
    <w:rsid w:val="00823C85"/>
    <w:rsid w:val="00825138"/>
    <w:rsid w:val="008269DD"/>
    <w:rsid w:val="00830621"/>
    <w:rsid w:val="00831146"/>
    <w:rsid w:val="0083348C"/>
    <w:rsid w:val="00836CDC"/>
    <w:rsid w:val="008373D3"/>
    <w:rsid w:val="00840617"/>
    <w:rsid w:val="00840F84"/>
    <w:rsid w:val="00842A47"/>
    <w:rsid w:val="00843C13"/>
    <w:rsid w:val="008454F8"/>
    <w:rsid w:val="0085173A"/>
    <w:rsid w:val="008550EF"/>
    <w:rsid w:val="00856316"/>
    <w:rsid w:val="008603CE"/>
    <w:rsid w:val="008620FC"/>
    <w:rsid w:val="008627A5"/>
    <w:rsid w:val="00863E05"/>
    <w:rsid w:val="00865ACA"/>
    <w:rsid w:val="00865C38"/>
    <w:rsid w:val="00865D28"/>
    <w:rsid w:val="00865F85"/>
    <w:rsid w:val="00867C10"/>
    <w:rsid w:val="00870381"/>
    <w:rsid w:val="00870439"/>
    <w:rsid w:val="00870DA1"/>
    <w:rsid w:val="00873621"/>
    <w:rsid w:val="00880BF7"/>
    <w:rsid w:val="00882EA9"/>
    <w:rsid w:val="00883F93"/>
    <w:rsid w:val="00884DB3"/>
    <w:rsid w:val="00885A9D"/>
    <w:rsid w:val="008864F6"/>
    <w:rsid w:val="0089049D"/>
    <w:rsid w:val="00890DD6"/>
    <w:rsid w:val="008928C9"/>
    <w:rsid w:val="008930CB"/>
    <w:rsid w:val="008938DC"/>
    <w:rsid w:val="00893FD1"/>
    <w:rsid w:val="008942E2"/>
    <w:rsid w:val="00894836"/>
    <w:rsid w:val="00895172"/>
    <w:rsid w:val="008955EE"/>
    <w:rsid w:val="00895680"/>
    <w:rsid w:val="00896024"/>
    <w:rsid w:val="00896499"/>
    <w:rsid w:val="00896DFF"/>
    <w:rsid w:val="008970DB"/>
    <w:rsid w:val="0089762C"/>
    <w:rsid w:val="008976ED"/>
    <w:rsid w:val="008A1310"/>
    <w:rsid w:val="008A16BE"/>
    <w:rsid w:val="008A1893"/>
    <w:rsid w:val="008A3215"/>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C64EC"/>
    <w:rsid w:val="008D0CE8"/>
    <w:rsid w:val="008D1F77"/>
    <w:rsid w:val="008D22D6"/>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E6C83"/>
    <w:rsid w:val="008F0CDC"/>
    <w:rsid w:val="008F17A3"/>
    <w:rsid w:val="008F1ED3"/>
    <w:rsid w:val="008F23A5"/>
    <w:rsid w:val="008F40CE"/>
    <w:rsid w:val="008F473D"/>
    <w:rsid w:val="008F4C29"/>
    <w:rsid w:val="008F504B"/>
    <w:rsid w:val="008F53D9"/>
    <w:rsid w:val="008F70BD"/>
    <w:rsid w:val="008F788F"/>
    <w:rsid w:val="008F7EA2"/>
    <w:rsid w:val="00902722"/>
    <w:rsid w:val="009027BC"/>
    <w:rsid w:val="00902C2A"/>
    <w:rsid w:val="00905D05"/>
    <w:rsid w:val="009062E6"/>
    <w:rsid w:val="00911BE5"/>
    <w:rsid w:val="00913CA9"/>
    <w:rsid w:val="009145AE"/>
    <w:rsid w:val="009146CE"/>
    <w:rsid w:val="0091491F"/>
    <w:rsid w:val="00914CA7"/>
    <w:rsid w:val="00915C3E"/>
    <w:rsid w:val="009161A8"/>
    <w:rsid w:val="00921176"/>
    <w:rsid w:val="009245F5"/>
    <w:rsid w:val="009249EC"/>
    <w:rsid w:val="00924A16"/>
    <w:rsid w:val="009273B3"/>
    <w:rsid w:val="009305B5"/>
    <w:rsid w:val="0093466F"/>
    <w:rsid w:val="009429D5"/>
    <w:rsid w:val="00942BF1"/>
    <w:rsid w:val="0094512C"/>
    <w:rsid w:val="00945180"/>
    <w:rsid w:val="00945202"/>
    <w:rsid w:val="00945428"/>
    <w:rsid w:val="0094607B"/>
    <w:rsid w:val="00953604"/>
    <w:rsid w:val="0095496B"/>
    <w:rsid w:val="00956298"/>
    <w:rsid w:val="00960275"/>
    <w:rsid w:val="00961025"/>
    <w:rsid w:val="009610DC"/>
    <w:rsid w:val="00961490"/>
    <w:rsid w:val="0096381A"/>
    <w:rsid w:val="00965DD4"/>
    <w:rsid w:val="00965E04"/>
    <w:rsid w:val="009674AD"/>
    <w:rsid w:val="0096787E"/>
    <w:rsid w:val="009704B7"/>
    <w:rsid w:val="00970CDC"/>
    <w:rsid w:val="00977010"/>
    <w:rsid w:val="00977D02"/>
    <w:rsid w:val="009809BB"/>
    <w:rsid w:val="00981BFD"/>
    <w:rsid w:val="0098364B"/>
    <w:rsid w:val="00987D40"/>
    <w:rsid w:val="009911AF"/>
    <w:rsid w:val="00991875"/>
    <w:rsid w:val="00991F92"/>
    <w:rsid w:val="00992985"/>
    <w:rsid w:val="00993889"/>
    <w:rsid w:val="0099551B"/>
    <w:rsid w:val="00997BF1"/>
    <w:rsid w:val="009A07CE"/>
    <w:rsid w:val="009A089C"/>
    <w:rsid w:val="009A118E"/>
    <w:rsid w:val="009A21CD"/>
    <w:rsid w:val="009A278C"/>
    <w:rsid w:val="009A2BC2"/>
    <w:rsid w:val="009A42C1"/>
    <w:rsid w:val="009A5429"/>
    <w:rsid w:val="009A72AD"/>
    <w:rsid w:val="009B09E0"/>
    <w:rsid w:val="009B0BC5"/>
    <w:rsid w:val="009B1247"/>
    <w:rsid w:val="009B3A94"/>
    <w:rsid w:val="009B46F9"/>
    <w:rsid w:val="009B4B04"/>
    <w:rsid w:val="009B6029"/>
    <w:rsid w:val="009B6971"/>
    <w:rsid w:val="009C27F1"/>
    <w:rsid w:val="009C3152"/>
    <w:rsid w:val="009C3C6D"/>
    <w:rsid w:val="009C458A"/>
    <w:rsid w:val="009C4CFA"/>
    <w:rsid w:val="009C5070"/>
    <w:rsid w:val="009D112C"/>
    <w:rsid w:val="009D318B"/>
    <w:rsid w:val="009D47FA"/>
    <w:rsid w:val="009D4C5B"/>
    <w:rsid w:val="009D50D2"/>
    <w:rsid w:val="009D6BCA"/>
    <w:rsid w:val="009E0F62"/>
    <w:rsid w:val="009E3A5A"/>
    <w:rsid w:val="009E4A58"/>
    <w:rsid w:val="009E5A2D"/>
    <w:rsid w:val="009E5AB2"/>
    <w:rsid w:val="009E6219"/>
    <w:rsid w:val="009F020A"/>
    <w:rsid w:val="009F03B3"/>
    <w:rsid w:val="009F1811"/>
    <w:rsid w:val="009F6D6C"/>
    <w:rsid w:val="009F7CAA"/>
    <w:rsid w:val="00A0096C"/>
    <w:rsid w:val="00A01757"/>
    <w:rsid w:val="00A01CB4"/>
    <w:rsid w:val="00A028C0"/>
    <w:rsid w:val="00A02BAE"/>
    <w:rsid w:val="00A03B99"/>
    <w:rsid w:val="00A06A6B"/>
    <w:rsid w:val="00A07E47"/>
    <w:rsid w:val="00A07E7F"/>
    <w:rsid w:val="00A129D0"/>
    <w:rsid w:val="00A12C33"/>
    <w:rsid w:val="00A138BA"/>
    <w:rsid w:val="00A14110"/>
    <w:rsid w:val="00A14C8E"/>
    <w:rsid w:val="00A153D9"/>
    <w:rsid w:val="00A15F09"/>
    <w:rsid w:val="00A169B6"/>
    <w:rsid w:val="00A2086A"/>
    <w:rsid w:val="00A2271D"/>
    <w:rsid w:val="00A2318C"/>
    <w:rsid w:val="00A237D5"/>
    <w:rsid w:val="00A247DD"/>
    <w:rsid w:val="00A259DF"/>
    <w:rsid w:val="00A274B3"/>
    <w:rsid w:val="00A27E6F"/>
    <w:rsid w:val="00A30EFC"/>
    <w:rsid w:val="00A31984"/>
    <w:rsid w:val="00A32D73"/>
    <w:rsid w:val="00A3367B"/>
    <w:rsid w:val="00A3597D"/>
    <w:rsid w:val="00A35D94"/>
    <w:rsid w:val="00A36DD1"/>
    <w:rsid w:val="00A4006C"/>
    <w:rsid w:val="00A40091"/>
    <w:rsid w:val="00A4030F"/>
    <w:rsid w:val="00A41C79"/>
    <w:rsid w:val="00A41CB5"/>
    <w:rsid w:val="00A42CDF"/>
    <w:rsid w:val="00A4354B"/>
    <w:rsid w:val="00A4452E"/>
    <w:rsid w:val="00A4472C"/>
    <w:rsid w:val="00A44E69"/>
    <w:rsid w:val="00A4661E"/>
    <w:rsid w:val="00A5417C"/>
    <w:rsid w:val="00A55BD6"/>
    <w:rsid w:val="00A55D50"/>
    <w:rsid w:val="00A57142"/>
    <w:rsid w:val="00A648CD"/>
    <w:rsid w:val="00A6537A"/>
    <w:rsid w:val="00A65639"/>
    <w:rsid w:val="00A67866"/>
    <w:rsid w:val="00A70B07"/>
    <w:rsid w:val="00A723F8"/>
    <w:rsid w:val="00A7481E"/>
    <w:rsid w:val="00A77CCB"/>
    <w:rsid w:val="00A83D8D"/>
    <w:rsid w:val="00A8446B"/>
    <w:rsid w:val="00A8473F"/>
    <w:rsid w:val="00A862D6"/>
    <w:rsid w:val="00A8715E"/>
    <w:rsid w:val="00A91F30"/>
    <w:rsid w:val="00A9295B"/>
    <w:rsid w:val="00A93B09"/>
    <w:rsid w:val="00A94247"/>
    <w:rsid w:val="00A952D7"/>
    <w:rsid w:val="00A963F7"/>
    <w:rsid w:val="00A96AD8"/>
    <w:rsid w:val="00AA052C"/>
    <w:rsid w:val="00AA1E45"/>
    <w:rsid w:val="00AA30F3"/>
    <w:rsid w:val="00AA4286"/>
    <w:rsid w:val="00AA456B"/>
    <w:rsid w:val="00AA57F5"/>
    <w:rsid w:val="00AA672E"/>
    <w:rsid w:val="00AA6EC9"/>
    <w:rsid w:val="00AB41D5"/>
    <w:rsid w:val="00AB6309"/>
    <w:rsid w:val="00AB6C5F"/>
    <w:rsid w:val="00AB7129"/>
    <w:rsid w:val="00AB7F55"/>
    <w:rsid w:val="00AC01EE"/>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3E09"/>
    <w:rsid w:val="00AE5EB4"/>
    <w:rsid w:val="00AF0C18"/>
    <w:rsid w:val="00AF47C5"/>
    <w:rsid w:val="00AF5398"/>
    <w:rsid w:val="00B049AA"/>
    <w:rsid w:val="00B049AF"/>
    <w:rsid w:val="00B0637C"/>
    <w:rsid w:val="00B07242"/>
    <w:rsid w:val="00B10534"/>
    <w:rsid w:val="00B113DB"/>
    <w:rsid w:val="00B11D8A"/>
    <w:rsid w:val="00B12981"/>
    <w:rsid w:val="00B147DD"/>
    <w:rsid w:val="00B156FD"/>
    <w:rsid w:val="00B21F61"/>
    <w:rsid w:val="00B254ED"/>
    <w:rsid w:val="00B261F1"/>
    <w:rsid w:val="00B265BC"/>
    <w:rsid w:val="00B3016E"/>
    <w:rsid w:val="00B31FB1"/>
    <w:rsid w:val="00B33952"/>
    <w:rsid w:val="00B33B50"/>
    <w:rsid w:val="00B33C5E"/>
    <w:rsid w:val="00B342F4"/>
    <w:rsid w:val="00B34369"/>
    <w:rsid w:val="00B34DC2"/>
    <w:rsid w:val="00B378E5"/>
    <w:rsid w:val="00B40D4C"/>
    <w:rsid w:val="00B43091"/>
    <w:rsid w:val="00B4346D"/>
    <w:rsid w:val="00B43BA5"/>
    <w:rsid w:val="00B440F4"/>
    <w:rsid w:val="00B447A5"/>
    <w:rsid w:val="00B4654C"/>
    <w:rsid w:val="00B46AF0"/>
    <w:rsid w:val="00B47293"/>
    <w:rsid w:val="00B477B8"/>
    <w:rsid w:val="00B50E50"/>
    <w:rsid w:val="00B52120"/>
    <w:rsid w:val="00B54ABC"/>
    <w:rsid w:val="00B54DDE"/>
    <w:rsid w:val="00B56FBE"/>
    <w:rsid w:val="00B60ACF"/>
    <w:rsid w:val="00B62B58"/>
    <w:rsid w:val="00B63E8A"/>
    <w:rsid w:val="00B642F2"/>
    <w:rsid w:val="00B648A6"/>
    <w:rsid w:val="00B65149"/>
    <w:rsid w:val="00B66567"/>
    <w:rsid w:val="00B66F52"/>
    <w:rsid w:val="00B66FE5"/>
    <w:rsid w:val="00B671CB"/>
    <w:rsid w:val="00B72050"/>
    <w:rsid w:val="00B72778"/>
    <w:rsid w:val="00B72880"/>
    <w:rsid w:val="00B72BF8"/>
    <w:rsid w:val="00B758BF"/>
    <w:rsid w:val="00B77EC8"/>
    <w:rsid w:val="00B827A6"/>
    <w:rsid w:val="00B831CE"/>
    <w:rsid w:val="00B83FA5"/>
    <w:rsid w:val="00B86677"/>
    <w:rsid w:val="00B87131"/>
    <w:rsid w:val="00B872EC"/>
    <w:rsid w:val="00B939B1"/>
    <w:rsid w:val="00B93B38"/>
    <w:rsid w:val="00B96D40"/>
    <w:rsid w:val="00B97386"/>
    <w:rsid w:val="00BA263B"/>
    <w:rsid w:val="00BA42B2"/>
    <w:rsid w:val="00BA58D4"/>
    <w:rsid w:val="00BA5B9E"/>
    <w:rsid w:val="00BA6EB9"/>
    <w:rsid w:val="00BA7C9A"/>
    <w:rsid w:val="00BB203B"/>
    <w:rsid w:val="00BB2D08"/>
    <w:rsid w:val="00BB5F8F"/>
    <w:rsid w:val="00BB657A"/>
    <w:rsid w:val="00BC014B"/>
    <w:rsid w:val="00BC1A4E"/>
    <w:rsid w:val="00BC4790"/>
    <w:rsid w:val="00BC5DC7"/>
    <w:rsid w:val="00BC6B8B"/>
    <w:rsid w:val="00BC73D8"/>
    <w:rsid w:val="00BC7A75"/>
    <w:rsid w:val="00BD04DD"/>
    <w:rsid w:val="00BD52D7"/>
    <w:rsid w:val="00BD5AD2"/>
    <w:rsid w:val="00BE1D8F"/>
    <w:rsid w:val="00BE22F3"/>
    <w:rsid w:val="00BE5B52"/>
    <w:rsid w:val="00BE66AA"/>
    <w:rsid w:val="00BE6CF3"/>
    <w:rsid w:val="00BE7B8D"/>
    <w:rsid w:val="00BF0993"/>
    <w:rsid w:val="00BF10A9"/>
    <w:rsid w:val="00BF1703"/>
    <w:rsid w:val="00BF231C"/>
    <w:rsid w:val="00BF2DBD"/>
    <w:rsid w:val="00BF51E5"/>
    <w:rsid w:val="00BF74A6"/>
    <w:rsid w:val="00C013AD"/>
    <w:rsid w:val="00C03702"/>
    <w:rsid w:val="00C04904"/>
    <w:rsid w:val="00C056B3"/>
    <w:rsid w:val="00C05A45"/>
    <w:rsid w:val="00C103E5"/>
    <w:rsid w:val="00C10BA4"/>
    <w:rsid w:val="00C13319"/>
    <w:rsid w:val="00C13EE9"/>
    <w:rsid w:val="00C17583"/>
    <w:rsid w:val="00C21540"/>
    <w:rsid w:val="00C21906"/>
    <w:rsid w:val="00C21BFA"/>
    <w:rsid w:val="00C22148"/>
    <w:rsid w:val="00C24C8D"/>
    <w:rsid w:val="00C25FE2"/>
    <w:rsid w:val="00C26B53"/>
    <w:rsid w:val="00C279B2"/>
    <w:rsid w:val="00C32628"/>
    <w:rsid w:val="00C33E50"/>
    <w:rsid w:val="00C34C20"/>
    <w:rsid w:val="00C35A3E"/>
    <w:rsid w:val="00C42130"/>
    <w:rsid w:val="00C423A4"/>
    <w:rsid w:val="00C44BF5"/>
    <w:rsid w:val="00C521D6"/>
    <w:rsid w:val="00C538F2"/>
    <w:rsid w:val="00C540F9"/>
    <w:rsid w:val="00C55232"/>
    <w:rsid w:val="00C553A4"/>
    <w:rsid w:val="00C55A06"/>
    <w:rsid w:val="00C55D03"/>
    <w:rsid w:val="00C601BC"/>
    <w:rsid w:val="00C622AE"/>
    <w:rsid w:val="00C6329F"/>
    <w:rsid w:val="00C63340"/>
    <w:rsid w:val="00C6414F"/>
    <w:rsid w:val="00C643F9"/>
    <w:rsid w:val="00C64E95"/>
    <w:rsid w:val="00C71372"/>
    <w:rsid w:val="00C72410"/>
    <w:rsid w:val="00C7287F"/>
    <w:rsid w:val="00C80CB8"/>
    <w:rsid w:val="00C819F8"/>
    <w:rsid w:val="00C8248C"/>
    <w:rsid w:val="00C84E33"/>
    <w:rsid w:val="00C86D6F"/>
    <w:rsid w:val="00C905FC"/>
    <w:rsid w:val="00C9112E"/>
    <w:rsid w:val="00C92D03"/>
    <w:rsid w:val="00C9319C"/>
    <w:rsid w:val="00C9435D"/>
    <w:rsid w:val="00C94DF2"/>
    <w:rsid w:val="00C96741"/>
    <w:rsid w:val="00CA2D1B"/>
    <w:rsid w:val="00CA375D"/>
    <w:rsid w:val="00CA6317"/>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A55"/>
    <w:rsid w:val="00CC5DE6"/>
    <w:rsid w:val="00CC6E4E"/>
    <w:rsid w:val="00CC6FE8"/>
    <w:rsid w:val="00CC7202"/>
    <w:rsid w:val="00CD0A40"/>
    <w:rsid w:val="00CD1794"/>
    <w:rsid w:val="00CD2219"/>
    <w:rsid w:val="00CD221E"/>
    <w:rsid w:val="00CD2808"/>
    <w:rsid w:val="00CD28BF"/>
    <w:rsid w:val="00CD3F47"/>
    <w:rsid w:val="00CD4092"/>
    <w:rsid w:val="00CD4A20"/>
    <w:rsid w:val="00CD50A1"/>
    <w:rsid w:val="00CD519E"/>
    <w:rsid w:val="00CD561D"/>
    <w:rsid w:val="00CE0C4F"/>
    <w:rsid w:val="00CE30EA"/>
    <w:rsid w:val="00CE3164"/>
    <w:rsid w:val="00CE51AB"/>
    <w:rsid w:val="00CF048A"/>
    <w:rsid w:val="00CF155A"/>
    <w:rsid w:val="00CF2947"/>
    <w:rsid w:val="00CF5500"/>
    <w:rsid w:val="00CF686F"/>
    <w:rsid w:val="00CF6E60"/>
    <w:rsid w:val="00CF7BCA"/>
    <w:rsid w:val="00D008FD"/>
    <w:rsid w:val="00D0300B"/>
    <w:rsid w:val="00D0321C"/>
    <w:rsid w:val="00D035EC"/>
    <w:rsid w:val="00D04408"/>
    <w:rsid w:val="00D05667"/>
    <w:rsid w:val="00D06AB1"/>
    <w:rsid w:val="00D072ED"/>
    <w:rsid w:val="00D07A16"/>
    <w:rsid w:val="00D10199"/>
    <w:rsid w:val="00D105AD"/>
    <w:rsid w:val="00D1067E"/>
    <w:rsid w:val="00D10F50"/>
    <w:rsid w:val="00D11272"/>
    <w:rsid w:val="00D126F5"/>
    <w:rsid w:val="00D1489E"/>
    <w:rsid w:val="00D20737"/>
    <w:rsid w:val="00D21E81"/>
    <w:rsid w:val="00D223DE"/>
    <w:rsid w:val="00D25E37"/>
    <w:rsid w:val="00D2661A"/>
    <w:rsid w:val="00D272D2"/>
    <w:rsid w:val="00D27582"/>
    <w:rsid w:val="00D27EC4"/>
    <w:rsid w:val="00D32719"/>
    <w:rsid w:val="00D33333"/>
    <w:rsid w:val="00D33457"/>
    <w:rsid w:val="00D352A2"/>
    <w:rsid w:val="00D3716F"/>
    <w:rsid w:val="00D3736E"/>
    <w:rsid w:val="00D4162B"/>
    <w:rsid w:val="00D4514F"/>
    <w:rsid w:val="00D451E2"/>
    <w:rsid w:val="00D45E89"/>
    <w:rsid w:val="00D45E8D"/>
    <w:rsid w:val="00D466AE"/>
    <w:rsid w:val="00D4734F"/>
    <w:rsid w:val="00D51BF3"/>
    <w:rsid w:val="00D66846"/>
    <w:rsid w:val="00D675FB"/>
    <w:rsid w:val="00D70ED3"/>
    <w:rsid w:val="00D71F25"/>
    <w:rsid w:val="00D720D9"/>
    <w:rsid w:val="00D72A9C"/>
    <w:rsid w:val="00D77031"/>
    <w:rsid w:val="00D80241"/>
    <w:rsid w:val="00D8165A"/>
    <w:rsid w:val="00D84941"/>
    <w:rsid w:val="00D84FA1"/>
    <w:rsid w:val="00D851F0"/>
    <w:rsid w:val="00D85AE3"/>
    <w:rsid w:val="00D862A4"/>
    <w:rsid w:val="00D86DB7"/>
    <w:rsid w:val="00D926D0"/>
    <w:rsid w:val="00D93030"/>
    <w:rsid w:val="00D950E1"/>
    <w:rsid w:val="00D952A6"/>
    <w:rsid w:val="00D97F99"/>
    <w:rsid w:val="00DA1E08"/>
    <w:rsid w:val="00DA24F8"/>
    <w:rsid w:val="00DA28E8"/>
    <w:rsid w:val="00DA38D3"/>
    <w:rsid w:val="00DA3932"/>
    <w:rsid w:val="00DA3AFC"/>
    <w:rsid w:val="00DA47F7"/>
    <w:rsid w:val="00DA5191"/>
    <w:rsid w:val="00DA64F8"/>
    <w:rsid w:val="00DA6C15"/>
    <w:rsid w:val="00DB0258"/>
    <w:rsid w:val="00DB38EE"/>
    <w:rsid w:val="00DB498B"/>
    <w:rsid w:val="00DB66CA"/>
    <w:rsid w:val="00DB6BCA"/>
    <w:rsid w:val="00DB73F7"/>
    <w:rsid w:val="00DC0321"/>
    <w:rsid w:val="00DC3067"/>
    <w:rsid w:val="00DC370B"/>
    <w:rsid w:val="00DC5B90"/>
    <w:rsid w:val="00DC7505"/>
    <w:rsid w:val="00DD00FF"/>
    <w:rsid w:val="00DD0619"/>
    <w:rsid w:val="00DD07FB"/>
    <w:rsid w:val="00DD25C6"/>
    <w:rsid w:val="00DD4FE5"/>
    <w:rsid w:val="00DD54B0"/>
    <w:rsid w:val="00DD57EE"/>
    <w:rsid w:val="00DD5FFB"/>
    <w:rsid w:val="00DD6BCC"/>
    <w:rsid w:val="00DE0A4B"/>
    <w:rsid w:val="00DE2410"/>
    <w:rsid w:val="00DE2939"/>
    <w:rsid w:val="00DE6E81"/>
    <w:rsid w:val="00DE703F"/>
    <w:rsid w:val="00DE7595"/>
    <w:rsid w:val="00DF1961"/>
    <w:rsid w:val="00DF29BD"/>
    <w:rsid w:val="00DF44DE"/>
    <w:rsid w:val="00DF5B84"/>
    <w:rsid w:val="00DF5F11"/>
    <w:rsid w:val="00E00797"/>
    <w:rsid w:val="00E010A5"/>
    <w:rsid w:val="00E01138"/>
    <w:rsid w:val="00E02DFB"/>
    <w:rsid w:val="00E030F9"/>
    <w:rsid w:val="00E0311A"/>
    <w:rsid w:val="00E03138"/>
    <w:rsid w:val="00E06404"/>
    <w:rsid w:val="00E065D2"/>
    <w:rsid w:val="00E11A85"/>
    <w:rsid w:val="00E12495"/>
    <w:rsid w:val="00E1279C"/>
    <w:rsid w:val="00E14A05"/>
    <w:rsid w:val="00E15CCD"/>
    <w:rsid w:val="00E1720D"/>
    <w:rsid w:val="00E202EF"/>
    <w:rsid w:val="00E210B5"/>
    <w:rsid w:val="00E23D99"/>
    <w:rsid w:val="00E2552F"/>
    <w:rsid w:val="00E26946"/>
    <w:rsid w:val="00E3137A"/>
    <w:rsid w:val="00E32CCF"/>
    <w:rsid w:val="00E3312E"/>
    <w:rsid w:val="00E34A98"/>
    <w:rsid w:val="00E35295"/>
    <w:rsid w:val="00E35D1E"/>
    <w:rsid w:val="00E364F9"/>
    <w:rsid w:val="00E365FA"/>
    <w:rsid w:val="00E36789"/>
    <w:rsid w:val="00E44A83"/>
    <w:rsid w:val="00E46FCE"/>
    <w:rsid w:val="00E47579"/>
    <w:rsid w:val="00E502C1"/>
    <w:rsid w:val="00E502DD"/>
    <w:rsid w:val="00E50D3A"/>
    <w:rsid w:val="00E51387"/>
    <w:rsid w:val="00E51E68"/>
    <w:rsid w:val="00E52694"/>
    <w:rsid w:val="00E52EFD"/>
    <w:rsid w:val="00E5408A"/>
    <w:rsid w:val="00E5451C"/>
    <w:rsid w:val="00E56800"/>
    <w:rsid w:val="00E60C63"/>
    <w:rsid w:val="00E624F2"/>
    <w:rsid w:val="00E62FF9"/>
    <w:rsid w:val="00E635D6"/>
    <w:rsid w:val="00E639BC"/>
    <w:rsid w:val="00E664CC"/>
    <w:rsid w:val="00E70388"/>
    <w:rsid w:val="00E70CCF"/>
    <w:rsid w:val="00E70F92"/>
    <w:rsid w:val="00E7390C"/>
    <w:rsid w:val="00E74C54"/>
    <w:rsid w:val="00E77A03"/>
    <w:rsid w:val="00E822E8"/>
    <w:rsid w:val="00E82554"/>
    <w:rsid w:val="00E82606"/>
    <w:rsid w:val="00E846C8"/>
    <w:rsid w:val="00E84957"/>
    <w:rsid w:val="00E84A55"/>
    <w:rsid w:val="00E8511E"/>
    <w:rsid w:val="00E85B0C"/>
    <w:rsid w:val="00E85BFF"/>
    <w:rsid w:val="00E90391"/>
    <w:rsid w:val="00E9040E"/>
    <w:rsid w:val="00E906C2"/>
    <w:rsid w:val="00E9311F"/>
    <w:rsid w:val="00E934D1"/>
    <w:rsid w:val="00E9386A"/>
    <w:rsid w:val="00E94AF0"/>
    <w:rsid w:val="00E95D13"/>
    <w:rsid w:val="00E95DD3"/>
    <w:rsid w:val="00E969D5"/>
    <w:rsid w:val="00E976F0"/>
    <w:rsid w:val="00EA55D3"/>
    <w:rsid w:val="00EA58D1"/>
    <w:rsid w:val="00EA61BC"/>
    <w:rsid w:val="00EA681A"/>
    <w:rsid w:val="00EA735B"/>
    <w:rsid w:val="00EB17DE"/>
    <w:rsid w:val="00EB1C0E"/>
    <w:rsid w:val="00EB1E69"/>
    <w:rsid w:val="00EB2086"/>
    <w:rsid w:val="00EB5EDF"/>
    <w:rsid w:val="00EB60FE"/>
    <w:rsid w:val="00EB74DB"/>
    <w:rsid w:val="00EC1EA3"/>
    <w:rsid w:val="00EC5359"/>
    <w:rsid w:val="00EC562A"/>
    <w:rsid w:val="00ED067A"/>
    <w:rsid w:val="00ED2B50"/>
    <w:rsid w:val="00EE0350"/>
    <w:rsid w:val="00EE0719"/>
    <w:rsid w:val="00EE0E80"/>
    <w:rsid w:val="00EE54A6"/>
    <w:rsid w:val="00EE613F"/>
    <w:rsid w:val="00EE7295"/>
    <w:rsid w:val="00EE7869"/>
    <w:rsid w:val="00EF054A"/>
    <w:rsid w:val="00EF3235"/>
    <w:rsid w:val="00EF5045"/>
    <w:rsid w:val="00EF5DFF"/>
    <w:rsid w:val="00EF6EDE"/>
    <w:rsid w:val="00EF7E72"/>
    <w:rsid w:val="00F03B5A"/>
    <w:rsid w:val="00F06938"/>
    <w:rsid w:val="00F06D37"/>
    <w:rsid w:val="00F071F6"/>
    <w:rsid w:val="00F07B9D"/>
    <w:rsid w:val="00F11586"/>
    <w:rsid w:val="00F1183B"/>
    <w:rsid w:val="00F11C9F"/>
    <w:rsid w:val="00F12263"/>
    <w:rsid w:val="00F1409D"/>
    <w:rsid w:val="00F14214"/>
    <w:rsid w:val="00F157A9"/>
    <w:rsid w:val="00F165AA"/>
    <w:rsid w:val="00F2260E"/>
    <w:rsid w:val="00F25BB6"/>
    <w:rsid w:val="00F26B7E"/>
    <w:rsid w:val="00F27A3B"/>
    <w:rsid w:val="00F33817"/>
    <w:rsid w:val="00F3607C"/>
    <w:rsid w:val="00F420D5"/>
    <w:rsid w:val="00F451EA"/>
    <w:rsid w:val="00F45447"/>
    <w:rsid w:val="00F456C6"/>
    <w:rsid w:val="00F4577B"/>
    <w:rsid w:val="00F46496"/>
    <w:rsid w:val="00F473EF"/>
    <w:rsid w:val="00F474D0"/>
    <w:rsid w:val="00F50179"/>
    <w:rsid w:val="00F515EE"/>
    <w:rsid w:val="00F56511"/>
    <w:rsid w:val="00F615DA"/>
    <w:rsid w:val="00F6194E"/>
    <w:rsid w:val="00F623AC"/>
    <w:rsid w:val="00F63FFF"/>
    <w:rsid w:val="00F6412A"/>
    <w:rsid w:val="00F65893"/>
    <w:rsid w:val="00F66A4A"/>
    <w:rsid w:val="00F71E22"/>
    <w:rsid w:val="00F72142"/>
    <w:rsid w:val="00F72AE7"/>
    <w:rsid w:val="00F76065"/>
    <w:rsid w:val="00F81141"/>
    <w:rsid w:val="00F833BA"/>
    <w:rsid w:val="00F84FD0"/>
    <w:rsid w:val="00F859A8"/>
    <w:rsid w:val="00F86D87"/>
    <w:rsid w:val="00F9108B"/>
    <w:rsid w:val="00F91349"/>
    <w:rsid w:val="00F93A8A"/>
    <w:rsid w:val="00F95242"/>
    <w:rsid w:val="00F95248"/>
    <w:rsid w:val="00F956A9"/>
    <w:rsid w:val="00F963ED"/>
    <w:rsid w:val="00F966CF"/>
    <w:rsid w:val="00F96CAE"/>
    <w:rsid w:val="00F9757C"/>
    <w:rsid w:val="00F97C99"/>
    <w:rsid w:val="00FA4CCD"/>
    <w:rsid w:val="00FA4DAC"/>
    <w:rsid w:val="00FA662D"/>
    <w:rsid w:val="00FA73B1"/>
    <w:rsid w:val="00FB0CB9"/>
    <w:rsid w:val="00FB231D"/>
    <w:rsid w:val="00FB45F1"/>
    <w:rsid w:val="00FB4A72"/>
    <w:rsid w:val="00FB54E8"/>
    <w:rsid w:val="00FB6480"/>
    <w:rsid w:val="00FB7054"/>
    <w:rsid w:val="00FB736A"/>
    <w:rsid w:val="00FC17B7"/>
    <w:rsid w:val="00FC2CB7"/>
    <w:rsid w:val="00FC4090"/>
    <w:rsid w:val="00FC55B4"/>
    <w:rsid w:val="00FD00E6"/>
    <w:rsid w:val="00FD09A1"/>
    <w:rsid w:val="00FD1388"/>
    <w:rsid w:val="00FD2A7C"/>
    <w:rsid w:val="00FD59EB"/>
    <w:rsid w:val="00FD7299"/>
    <w:rsid w:val="00FE1FBE"/>
    <w:rsid w:val="00FE3901"/>
    <w:rsid w:val="00FE39D3"/>
    <w:rsid w:val="00FE4BCE"/>
    <w:rsid w:val="00FE54AE"/>
    <w:rsid w:val="00FE576A"/>
    <w:rsid w:val="00FE7E79"/>
    <w:rsid w:val="00FF224A"/>
    <w:rsid w:val="00FF3E7D"/>
    <w:rsid w:val="00FF45F3"/>
    <w:rsid w:val="00FF5B99"/>
    <w:rsid w:val="00FF730C"/>
    <w:rsid w:val="00FF73F4"/>
    <w:rsid w:val="00FF7CE4"/>
    <w:rsid w:val="00FF7E39"/>
    <w:rsid w:val="01EA48A9"/>
    <w:rsid w:val="02A97FD3"/>
    <w:rsid w:val="03393105"/>
    <w:rsid w:val="039114B5"/>
    <w:rsid w:val="03B60BF9"/>
    <w:rsid w:val="03D80B70"/>
    <w:rsid w:val="04AB3B8E"/>
    <w:rsid w:val="058014BF"/>
    <w:rsid w:val="05853C39"/>
    <w:rsid w:val="061B4D44"/>
    <w:rsid w:val="079A613C"/>
    <w:rsid w:val="080812F8"/>
    <w:rsid w:val="08C75FB6"/>
    <w:rsid w:val="099D5C36"/>
    <w:rsid w:val="0A5101BD"/>
    <w:rsid w:val="0AAA48E8"/>
    <w:rsid w:val="0AC75592"/>
    <w:rsid w:val="0AD37C2F"/>
    <w:rsid w:val="0B252262"/>
    <w:rsid w:val="0B266665"/>
    <w:rsid w:val="0B9F1715"/>
    <w:rsid w:val="0C177D5B"/>
    <w:rsid w:val="0C6F5DE9"/>
    <w:rsid w:val="0D416FEA"/>
    <w:rsid w:val="0DC91EAE"/>
    <w:rsid w:val="0DDC300B"/>
    <w:rsid w:val="0EEB76E8"/>
    <w:rsid w:val="0F3221B4"/>
    <w:rsid w:val="0F642429"/>
    <w:rsid w:val="104B26C9"/>
    <w:rsid w:val="109F606A"/>
    <w:rsid w:val="113F222E"/>
    <w:rsid w:val="119B4F8B"/>
    <w:rsid w:val="123621EF"/>
    <w:rsid w:val="13082AF4"/>
    <w:rsid w:val="13ED41C3"/>
    <w:rsid w:val="14053B15"/>
    <w:rsid w:val="142C7297"/>
    <w:rsid w:val="14CF5677"/>
    <w:rsid w:val="14E530ED"/>
    <w:rsid w:val="152165B6"/>
    <w:rsid w:val="16DB74B9"/>
    <w:rsid w:val="17EC02EE"/>
    <w:rsid w:val="18BE0D41"/>
    <w:rsid w:val="1A5B175B"/>
    <w:rsid w:val="1B065B6B"/>
    <w:rsid w:val="1BD50E85"/>
    <w:rsid w:val="1C0103EF"/>
    <w:rsid w:val="1DEC73B1"/>
    <w:rsid w:val="1E5170FD"/>
    <w:rsid w:val="1ED03E23"/>
    <w:rsid w:val="1EF74148"/>
    <w:rsid w:val="21525A8F"/>
    <w:rsid w:val="23B27B4C"/>
    <w:rsid w:val="23F942D1"/>
    <w:rsid w:val="246031BB"/>
    <w:rsid w:val="246C6E0C"/>
    <w:rsid w:val="260630E0"/>
    <w:rsid w:val="26151358"/>
    <w:rsid w:val="261E42F7"/>
    <w:rsid w:val="262835DF"/>
    <w:rsid w:val="26B66697"/>
    <w:rsid w:val="274243CE"/>
    <w:rsid w:val="27C44DE4"/>
    <w:rsid w:val="2903193C"/>
    <w:rsid w:val="2A31124B"/>
    <w:rsid w:val="2BA12F1D"/>
    <w:rsid w:val="2C9A25B7"/>
    <w:rsid w:val="2D33417F"/>
    <w:rsid w:val="2D45146F"/>
    <w:rsid w:val="2E652751"/>
    <w:rsid w:val="2F073111"/>
    <w:rsid w:val="2F25245D"/>
    <w:rsid w:val="301D1535"/>
    <w:rsid w:val="30521681"/>
    <w:rsid w:val="31E21AC1"/>
    <w:rsid w:val="327A0EC0"/>
    <w:rsid w:val="32A00534"/>
    <w:rsid w:val="35B03024"/>
    <w:rsid w:val="36653C36"/>
    <w:rsid w:val="36851D82"/>
    <w:rsid w:val="382861CA"/>
    <w:rsid w:val="393A4F06"/>
    <w:rsid w:val="3A9C399E"/>
    <w:rsid w:val="3C4D31A2"/>
    <w:rsid w:val="3D126B46"/>
    <w:rsid w:val="3E522CF1"/>
    <w:rsid w:val="400E49F6"/>
    <w:rsid w:val="412B15D8"/>
    <w:rsid w:val="413B7A6D"/>
    <w:rsid w:val="42660B19"/>
    <w:rsid w:val="42C10446"/>
    <w:rsid w:val="4330314B"/>
    <w:rsid w:val="43432C09"/>
    <w:rsid w:val="437B05F4"/>
    <w:rsid w:val="43F14D5A"/>
    <w:rsid w:val="44DD478D"/>
    <w:rsid w:val="464F5D68"/>
    <w:rsid w:val="469814BD"/>
    <w:rsid w:val="46D87375"/>
    <w:rsid w:val="49750C07"/>
    <w:rsid w:val="49973CAE"/>
    <w:rsid w:val="4B9E7551"/>
    <w:rsid w:val="4C9E444B"/>
    <w:rsid w:val="4CC11B8A"/>
    <w:rsid w:val="4D2C3056"/>
    <w:rsid w:val="4D8E361A"/>
    <w:rsid w:val="4E361CE8"/>
    <w:rsid w:val="4ED351A0"/>
    <w:rsid w:val="50106AF7"/>
    <w:rsid w:val="510460CD"/>
    <w:rsid w:val="51257DF2"/>
    <w:rsid w:val="517B03BC"/>
    <w:rsid w:val="52514643"/>
    <w:rsid w:val="52FD1026"/>
    <w:rsid w:val="53B75960"/>
    <w:rsid w:val="53F222EB"/>
    <w:rsid w:val="546D095C"/>
    <w:rsid w:val="54B73456"/>
    <w:rsid w:val="55ED29C8"/>
    <w:rsid w:val="56066443"/>
    <w:rsid w:val="57C26765"/>
    <w:rsid w:val="57DA4E50"/>
    <w:rsid w:val="589439FA"/>
    <w:rsid w:val="58B176B7"/>
    <w:rsid w:val="5A5F4374"/>
    <w:rsid w:val="5B4B0E38"/>
    <w:rsid w:val="5BDB5C7C"/>
    <w:rsid w:val="5BF94355"/>
    <w:rsid w:val="5C8E7A10"/>
    <w:rsid w:val="5D4A3DA5"/>
    <w:rsid w:val="5E046A15"/>
    <w:rsid w:val="5E190CDE"/>
    <w:rsid w:val="5E4D2736"/>
    <w:rsid w:val="5E4D6EFE"/>
    <w:rsid w:val="5EE30A1A"/>
    <w:rsid w:val="603E2C7E"/>
    <w:rsid w:val="60F0535D"/>
    <w:rsid w:val="62A2693C"/>
    <w:rsid w:val="637066C8"/>
    <w:rsid w:val="63C11BFC"/>
    <w:rsid w:val="63C55EBE"/>
    <w:rsid w:val="65B374C8"/>
    <w:rsid w:val="66651E20"/>
    <w:rsid w:val="66E968F1"/>
    <w:rsid w:val="66F657C8"/>
    <w:rsid w:val="67F60DF3"/>
    <w:rsid w:val="68D221B5"/>
    <w:rsid w:val="69382960"/>
    <w:rsid w:val="6A325601"/>
    <w:rsid w:val="6A9B4F6D"/>
    <w:rsid w:val="6B7C1223"/>
    <w:rsid w:val="6BDF0181"/>
    <w:rsid w:val="6C225C32"/>
    <w:rsid w:val="6D5328AE"/>
    <w:rsid w:val="6D6F26C8"/>
    <w:rsid w:val="6D8223FC"/>
    <w:rsid w:val="6EA445F4"/>
    <w:rsid w:val="7023779A"/>
    <w:rsid w:val="702F2BF1"/>
    <w:rsid w:val="70425469"/>
    <w:rsid w:val="72495F32"/>
    <w:rsid w:val="729329B5"/>
    <w:rsid w:val="72EC0317"/>
    <w:rsid w:val="73552361"/>
    <w:rsid w:val="73B452D9"/>
    <w:rsid w:val="73D414D7"/>
    <w:rsid w:val="75996421"/>
    <w:rsid w:val="77805FE2"/>
    <w:rsid w:val="77FB34A5"/>
    <w:rsid w:val="78034139"/>
    <w:rsid w:val="79175E14"/>
    <w:rsid w:val="79BD2A0E"/>
    <w:rsid w:val="7B2B47EB"/>
    <w:rsid w:val="7BE97AEA"/>
    <w:rsid w:val="7C0401C2"/>
    <w:rsid w:val="7C1F6301"/>
    <w:rsid w:val="7C6349C9"/>
    <w:rsid w:val="7CB4634A"/>
    <w:rsid w:val="7D8D75CD"/>
    <w:rsid w:val="7DDA593C"/>
    <w:rsid w:val="7E192908"/>
    <w:rsid w:val="7F5E164C"/>
    <w:rsid w:val="7F9853AC"/>
    <w:rsid w:val="7FBD1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7"/>
    <w:qFormat/>
    <w:uiPriority w:val="0"/>
    <w:pPr>
      <w:keepNext/>
      <w:keepLines/>
      <w:spacing w:before="260" w:after="260" w:line="416" w:lineRule="auto"/>
      <w:outlineLvl w:val="2"/>
    </w:pPr>
    <w:rPr>
      <w:b/>
      <w:bCs/>
      <w:sz w:val="32"/>
      <w:szCs w:val="32"/>
    </w:rPr>
  </w:style>
  <w:style w:type="paragraph" w:styleId="5">
    <w:name w:val="heading 4"/>
    <w:basedOn w:val="1"/>
    <w:next w:val="1"/>
    <w:link w:val="3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9"/>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0"/>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1"/>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2"/>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3"/>
    <w:qFormat/>
    <w:uiPriority w:val="0"/>
    <w:pPr>
      <w:keepNext/>
      <w:keepLines/>
      <w:adjustRightInd/>
      <w:spacing w:before="240" w:after="64" w:line="320" w:lineRule="auto"/>
      <w:outlineLvl w:val="8"/>
    </w:pPr>
    <w:rPr>
      <w:rFonts w:ascii="Arial" w:hAnsi="Arial" w:eastAsia="黑体"/>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7"/>
    <w:qFormat/>
    <w:uiPriority w:val="0"/>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6"/>
    <w:semiHidden/>
    <w:unhideWhenUsed/>
    <w:qFormat/>
    <w:uiPriority w:val="99"/>
    <w:rPr>
      <w:sz w:val="18"/>
      <w:szCs w:val="18"/>
    </w:rPr>
  </w:style>
  <w:style w:type="paragraph" w:styleId="17">
    <w:name w:val="footer"/>
    <w:basedOn w:val="1"/>
    <w:link w:val="45"/>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4"/>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100"/>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Normal (Web)"/>
    <w:basedOn w:val="1"/>
    <w:semiHidden/>
    <w:unhideWhenUsed/>
    <w:qFormat/>
    <w:uiPriority w:val="99"/>
    <w:rPr>
      <w:sz w:val="24"/>
    </w:rPr>
  </w:style>
  <w:style w:type="paragraph" w:styleId="26">
    <w:name w:val="Title"/>
    <w:basedOn w:val="1"/>
    <w:link w:val="49"/>
    <w:qFormat/>
    <w:uiPriority w:val="0"/>
    <w:pPr>
      <w:spacing w:before="240" w:after="60"/>
      <w:jc w:val="center"/>
      <w:outlineLvl w:val="0"/>
    </w:pPr>
    <w:rPr>
      <w:rFonts w:ascii="Arial" w:hAnsi="Arial" w:cs="Arial"/>
      <w:b/>
      <w:bCs/>
      <w:sz w:val="32"/>
      <w:szCs w:val="3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qFormat/>
    <w:uiPriority w:val="0"/>
    <w:rPr>
      <w:rFonts w:ascii="宋体" w:hAnsi="Times New Roman" w:eastAsia="宋体"/>
      <w:sz w:val="18"/>
    </w:rPr>
  </w:style>
  <w:style w:type="character" w:styleId="32">
    <w:name w:val="Emphasis"/>
    <w:qFormat/>
    <w:uiPriority w:val="20"/>
    <w:rPr>
      <w:i/>
      <w:iCs/>
    </w:rPr>
  </w:style>
  <w:style w:type="character" w:styleId="33">
    <w:name w:val="Hyperlink"/>
    <w:qFormat/>
    <w:uiPriority w:val="99"/>
    <w:rPr>
      <w:rFonts w:ascii="宋体" w:hAnsi="Times New Roman" w:eastAsia="宋体"/>
      <w:color w:val="auto"/>
      <w:spacing w:val="0"/>
      <w:w w:val="100"/>
      <w:position w:val="0"/>
      <w:sz w:val="21"/>
      <w:u w:val="none"/>
      <w:vertAlign w:val="baseline"/>
    </w:rPr>
  </w:style>
  <w:style w:type="character" w:styleId="34">
    <w:name w:val="footnote reference"/>
    <w:semiHidden/>
    <w:qFormat/>
    <w:uiPriority w:val="0"/>
    <w:rPr>
      <w:rFonts w:ascii="宋体" w:hAnsi="宋体" w:eastAsia="宋体" w:cs="Times New Roman"/>
      <w:spacing w:val="0"/>
      <w:sz w:val="18"/>
      <w:vertAlign w:val="superscript"/>
    </w:rPr>
  </w:style>
  <w:style w:type="character" w:customStyle="1" w:styleId="35">
    <w:name w:val="标题 1 字符"/>
    <w:link w:val="2"/>
    <w:qFormat/>
    <w:uiPriority w:val="0"/>
    <w:rPr>
      <w:b/>
      <w:bCs/>
      <w:kern w:val="44"/>
      <w:sz w:val="44"/>
      <w:szCs w:val="44"/>
    </w:rPr>
  </w:style>
  <w:style w:type="character" w:customStyle="1" w:styleId="36">
    <w:name w:val="标题 2 字符"/>
    <w:link w:val="3"/>
    <w:qFormat/>
    <w:uiPriority w:val="0"/>
    <w:rPr>
      <w:rFonts w:ascii="Arial" w:hAnsi="Arial" w:eastAsia="黑体"/>
      <w:b/>
      <w:bCs/>
      <w:kern w:val="2"/>
      <w:sz w:val="32"/>
      <w:szCs w:val="32"/>
    </w:rPr>
  </w:style>
  <w:style w:type="character" w:customStyle="1" w:styleId="37">
    <w:name w:val="标题 3 字符"/>
    <w:link w:val="4"/>
    <w:qFormat/>
    <w:uiPriority w:val="0"/>
    <w:rPr>
      <w:b/>
      <w:bCs/>
      <w:kern w:val="2"/>
      <w:sz w:val="32"/>
      <w:szCs w:val="32"/>
    </w:rPr>
  </w:style>
  <w:style w:type="character" w:customStyle="1" w:styleId="38">
    <w:name w:val="标题 4 字符"/>
    <w:link w:val="5"/>
    <w:qFormat/>
    <w:uiPriority w:val="0"/>
    <w:rPr>
      <w:rFonts w:ascii="Arial" w:hAnsi="Arial" w:eastAsia="黑体"/>
      <w:b/>
      <w:bCs/>
      <w:kern w:val="2"/>
      <w:sz w:val="28"/>
      <w:szCs w:val="28"/>
    </w:rPr>
  </w:style>
  <w:style w:type="character" w:customStyle="1" w:styleId="39">
    <w:name w:val="标题 5 字符"/>
    <w:link w:val="6"/>
    <w:qFormat/>
    <w:uiPriority w:val="0"/>
    <w:rPr>
      <w:b/>
      <w:bCs/>
      <w:kern w:val="2"/>
      <w:sz w:val="28"/>
      <w:szCs w:val="28"/>
    </w:rPr>
  </w:style>
  <w:style w:type="character" w:customStyle="1" w:styleId="40">
    <w:name w:val="标题 6 字符"/>
    <w:link w:val="7"/>
    <w:qFormat/>
    <w:uiPriority w:val="0"/>
    <w:rPr>
      <w:rFonts w:ascii="Arial" w:hAnsi="Arial" w:eastAsia="黑体"/>
      <w:b/>
      <w:bCs/>
      <w:kern w:val="2"/>
      <w:sz w:val="24"/>
      <w:szCs w:val="24"/>
    </w:rPr>
  </w:style>
  <w:style w:type="character" w:customStyle="1" w:styleId="41">
    <w:name w:val="标题 7 字符"/>
    <w:link w:val="8"/>
    <w:qFormat/>
    <w:uiPriority w:val="0"/>
    <w:rPr>
      <w:b/>
      <w:bCs/>
      <w:kern w:val="2"/>
      <w:sz w:val="24"/>
      <w:szCs w:val="24"/>
    </w:rPr>
  </w:style>
  <w:style w:type="character" w:customStyle="1" w:styleId="42">
    <w:name w:val="标题 8 字符"/>
    <w:link w:val="9"/>
    <w:qFormat/>
    <w:uiPriority w:val="0"/>
    <w:rPr>
      <w:rFonts w:ascii="Arial" w:hAnsi="Arial" w:eastAsia="黑体"/>
      <w:kern w:val="2"/>
      <w:sz w:val="24"/>
      <w:szCs w:val="24"/>
    </w:rPr>
  </w:style>
  <w:style w:type="character" w:customStyle="1" w:styleId="43">
    <w:name w:val="标题 9 字符"/>
    <w:link w:val="10"/>
    <w:qFormat/>
    <w:uiPriority w:val="0"/>
    <w:rPr>
      <w:rFonts w:ascii="Arial" w:hAnsi="Arial" w:eastAsia="黑体"/>
      <w:kern w:val="2"/>
      <w:sz w:val="21"/>
      <w:szCs w:val="21"/>
    </w:rPr>
  </w:style>
  <w:style w:type="character" w:customStyle="1" w:styleId="44">
    <w:name w:val="页眉 字符"/>
    <w:link w:val="18"/>
    <w:qFormat/>
    <w:uiPriority w:val="99"/>
    <w:rPr>
      <w:kern w:val="2"/>
      <w:sz w:val="18"/>
      <w:szCs w:val="18"/>
    </w:rPr>
  </w:style>
  <w:style w:type="character" w:customStyle="1" w:styleId="45">
    <w:name w:val="页脚 字符"/>
    <w:link w:val="17"/>
    <w:qFormat/>
    <w:uiPriority w:val="99"/>
    <w:rPr>
      <w:rFonts w:ascii="宋体"/>
      <w:kern w:val="2"/>
      <w:sz w:val="18"/>
      <w:szCs w:val="18"/>
    </w:rPr>
  </w:style>
  <w:style w:type="character" w:customStyle="1" w:styleId="46">
    <w:name w:val="批注框文本 字符"/>
    <w:link w:val="16"/>
    <w:semiHidden/>
    <w:qFormat/>
    <w:uiPriority w:val="99"/>
    <w:rPr>
      <w:kern w:val="2"/>
      <w:sz w:val="18"/>
      <w:szCs w:val="18"/>
    </w:rPr>
  </w:style>
  <w:style w:type="paragraph" w:styleId="47">
    <w:name w:val="Quote"/>
    <w:basedOn w:val="1"/>
    <w:next w:val="1"/>
    <w:link w:val="48"/>
    <w:qFormat/>
    <w:uiPriority w:val="29"/>
    <w:rPr>
      <w:i/>
      <w:iCs/>
      <w:color w:val="000000"/>
    </w:rPr>
  </w:style>
  <w:style w:type="character" w:customStyle="1" w:styleId="48">
    <w:name w:val="引用 字符"/>
    <w:link w:val="47"/>
    <w:qFormat/>
    <w:uiPriority w:val="29"/>
    <w:rPr>
      <w:i/>
      <w:iCs/>
      <w:color w:val="000000"/>
      <w:kern w:val="2"/>
      <w:sz w:val="21"/>
      <w:szCs w:val="21"/>
    </w:rPr>
  </w:style>
  <w:style w:type="character" w:customStyle="1" w:styleId="49">
    <w:name w:val="标题 字符"/>
    <w:link w:val="26"/>
    <w:qFormat/>
    <w:uiPriority w:val="0"/>
    <w:rPr>
      <w:rFonts w:ascii="Arial" w:hAnsi="Arial" w:cs="Arial"/>
      <w:b/>
      <w:bCs/>
      <w:kern w:val="2"/>
      <w:sz w:val="32"/>
      <w:szCs w:val="32"/>
    </w:rPr>
  </w:style>
  <w:style w:type="paragraph" w:customStyle="1" w:styleId="5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1">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2">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3">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4">
    <w:name w:val="标准书眉一"/>
    <w:qFormat/>
    <w:uiPriority w:val="0"/>
    <w:pPr>
      <w:jc w:val="both"/>
    </w:pPr>
    <w:rPr>
      <w:rFonts w:ascii="Times New Roman" w:hAnsi="Times New Roman" w:eastAsia="宋体" w:cs="Times New Roman"/>
      <w:lang w:val="en-US" w:eastAsia="zh-CN" w:bidi="ar-SA"/>
    </w:rPr>
  </w:style>
  <w:style w:type="paragraph" w:customStyle="1" w:styleId="55">
    <w:name w:val="标准文件_ICS"/>
    <w:basedOn w:val="1"/>
    <w:qFormat/>
    <w:uiPriority w:val="0"/>
    <w:pPr>
      <w:spacing w:line="0" w:lineRule="atLeast"/>
    </w:pPr>
    <w:rPr>
      <w:rFonts w:ascii="黑体" w:hAnsi="宋体" w:eastAsia="黑体"/>
    </w:rPr>
  </w:style>
  <w:style w:type="paragraph" w:customStyle="1" w:styleId="56">
    <w:name w:val="标准文件_标准正文"/>
    <w:basedOn w:val="1"/>
    <w:next w:val="57"/>
    <w:qFormat/>
    <w:uiPriority w:val="0"/>
    <w:pPr>
      <w:snapToGrid w:val="0"/>
      <w:ind w:firstLine="200" w:firstLineChars="200"/>
    </w:pPr>
    <w:rPr>
      <w:kern w:val="0"/>
    </w:rPr>
  </w:style>
  <w:style w:type="paragraph" w:customStyle="1" w:styleId="57">
    <w:name w:val="标准文件_段"/>
    <w:link w:val="185"/>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8">
    <w:name w:val="标准文件_版本"/>
    <w:basedOn w:val="56"/>
    <w:qFormat/>
    <w:uiPriority w:val="0"/>
    <w:pPr>
      <w:adjustRightInd/>
      <w:snapToGrid/>
      <w:ind w:firstLine="0" w:firstLineChars="0"/>
    </w:pPr>
    <w:rPr>
      <w:rFonts w:ascii="宋体" w:hAnsi="宋体"/>
      <w:kern w:val="2"/>
    </w:rPr>
  </w:style>
  <w:style w:type="paragraph" w:customStyle="1" w:styleId="59">
    <w:name w:val="标准文件_标准部门"/>
    <w:basedOn w:val="1"/>
    <w:qFormat/>
    <w:uiPriority w:val="0"/>
    <w:pPr>
      <w:jc w:val="center"/>
    </w:pPr>
    <w:rPr>
      <w:rFonts w:ascii="黑体" w:eastAsia="黑体"/>
      <w:kern w:val="0"/>
      <w:sz w:val="44"/>
    </w:rPr>
  </w:style>
  <w:style w:type="paragraph" w:customStyle="1" w:styleId="60">
    <w:name w:val="标准文件_标准代替"/>
    <w:basedOn w:val="1"/>
    <w:next w:val="1"/>
    <w:qFormat/>
    <w:uiPriority w:val="0"/>
    <w:pPr>
      <w:spacing w:line="310" w:lineRule="exact"/>
      <w:jc w:val="right"/>
    </w:pPr>
    <w:rPr>
      <w:rFonts w:ascii="宋体" w:hAnsi="宋体"/>
      <w:kern w:val="0"/>
    </w:rPr>
  </w:style>
  <w:style w:type="paragraph" w:customStyle="1" w:styleId="61">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2">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3">
    <w:name w:val="标准文件_页眉偶数页"/>
    <w:basedOn w:val="62"/>
    <w:next w:val="1"/>
    <w:qFormat/>
    <w:uiPriority w:val="0"/>
    <w:pPr>
      <w:jc w:val="left"/>
    </w:pPr>
  </w:style>
  <w:style w:type="paragraph" w:customStyle="1" w:styleId="64">
    <w:name w:val="标准文件_参考文献标题"/>
    <w:basedOn w:val="1"/>
    <w:next w:val="1"/>
    <w:qFormat/>
    <w:uiPriority w:val="0"/>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65">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6">
    <w:name w:val="标准文件_二级条标题"/>
    <w:next w:val="57"/>
    <w:link w:val="235"/>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7">
    <w:name w:val="标准文件_发布"/>
    <w:qFormat/>
    <w:uiPriority w:val="0"/>
    <w:rPr>
      <w:rFonts w:ascii="黑体" w:eastAsia="黑体"/>
      <w:spacing w:val="0"/>
      <w:w w:val="100"/>
      <w:position w:val="3"/>
      <w:sz w:val="28"/>
    </w:rPr>
  </w:style>
  <w:style w:type="paragraph" w:customStyle="1" w:styleId="68">
    <w:name w:val="标准文件_方框数字列项"/>
    <w:basedOn w:val="57"/>
    <w:qFormat/>
    <w:uiPriority w:val="0"/>
    <w:pPr>
      <w:numPr>
        <w:ilvl w:val="0"/>
        <w:numId w:val="3"/>
      </w:numPr>
      <w:ind w:firstLine="0" w:firstLineChars="0"/>
    </w:pPr>
  </w:style>
  <w:style w:type="paragraph" w:customStyle="1" w:styleId="69">
    <w:name w:val="标准文件_封面标准编号"/>
    <w:basedOn w:val="1"/>
    <w:next w:val="60"/>
    <w:qFormat/>
    <w:uiPriority w:val="0"/>
    <w:pPr>
      <w:spacing w:line="310" w:lineRule="exact"/>
      <w:jc w:val="right"/>
    </w:pPr>
    <w:rPr>
      <w:rFonts w:ascii="黑体" w:eastAsia="黑体"/>
      <w:kern w:val="0"/>
      <w:sz w:val="28"/>
    </w:rPr>
  </w:style>
  <w:style w:type="paragraph" w:customStyle="1" w:styleId="70">
    <w:name w:val="标准文件_封面标准分类号"/>
    <w:basedOn w:val="1"/>
    <w:qFormat/>
    <w:uiPriority w:val="0"/>
    <w:rPr>
      <w:rFonts w:ascii="黑体" w:eastAsia="黑体"/>
      <w:b/>
      <w:kern w:val="0"/>
      <w:sz w:val="28"/>
    </w:rPr>
  </w:style>
  <w:style w:type="paragraph" w:customStyle="1" w:styleId="71">
    <w:name w:val="标准文件_封面标准名称"/>
    <w:basedOn w:val="1"/>
    <w:qFormat/>
    <w:uiPriority w:val="0"/>
    <w:pPr>
      <w:spacing w:line="240" w:lineRule="auto"/>
      <w:jc w:val="center"/>
    </w:pPr>
    <w:rPr>
      <w:rFonts w:ascii="黑体" w:eastAsia="黑体"/>
      <w:kern w:val="0"/>
      <w:sz w:val="52"/>
    </w:rPr>
  </w:style>
  <w:style w:type="paragraph" w:customStyle="1" w:styleId="72">
    <w:name w:val="标准文件_封面标准英文名称"/>
    <w:basedOn w:val="1"/>
    <w:qFormat/>
    <w:uiPriority w:val="0"/>
    <w:pPr>
      <w:spacing w:line="240" w:lineRule="auto"/>
      <w:jc w:val="center"/>
    </w:pPr>
    <w:rPr>
      <w:rFonts w:ascii="黑体" w:eastAsia="黑体"/>
      <w:b/>
      <w:sz w:val="28"/>
    </w:rPr>
  </w:style>
  <w:style w:type="paragraph" w:customStyle="1" w:styleId="73">
    <w:name w:val="标准文件_封面发布日期"/>
    <w:basedOn w:val="1"/>
    <w:qFormat/>
    <w:uiPriority w:val="0"/>
    <w:pPr>
      <w:spacing w:line="310" w:lineRule="exact"/>
    </w:pPr>
    <w:rPr>
      <w:rFonts w:ascii="黑体" w:eastAsia="黑体"/>
      <w:kern w:val="0"/>
      <w:sz w:val="28"/>
    </w:rPr>
  </w:style>
  <w:style w:type="paragraph" w:customStyle="1" w:styleId="74">
    <w:name w:val="标准文件_封面密级"/>
    <w:basedOn w:val="1"/>
    <w:qFormat/>
    <w:uiPriority w:val="0"/>
    <w:rPr>
      <w:rFonts w:eastAsia="黑体"/>
      <w:sz w:val="32"/>
    </w:rPr>
  </w:style>
  <w:style w:type="paragraph" w:customStyle="1" w:styleId="75">
    <w:name w:val="标准文件_封面实施日期"/>
    <w:basedOn w:val="1"/>
    <w:qFormat/>
    <w:uiPriority w:val="0"/>
    <w:pPr>
      <w:spacing w:line="310" w:lineRule="exact"/>
      <w:jc w:val="right"/>
    </w:pPr>
    <w:rPr>
      <w:rFonts w:ascii="黑体" w:eastAsia="黑体"/>
      <w:sz w:val="28"/>
    </w:rPr>
  </w:style>
  <w:style w:type="paragraph" w:customStyle="1" w:styleId="76">
    <w:name w:val="标准文件_封面抬头"/>
    <w:basedOn w:val="57"/>
    <w:qFormat/>
    <w:uiPriority w:val="0"/>
    <w:pPr>
      <w:adjustRightInd w:val="0"/>
      <w:spacing w:line="800" w:lineRule="exact"/>
      <w:ind w:firstLine="0" w:firstLineChars="0"/>
      <w:jc w:val="distribute"/>
    </w:pPr>
    <w:rPr>
      <w:rFonts w:ascii="黑体" w:eastAsia="黑体"/>
      <w:b/>
      <w:sz w:val="64"/>
    </w:rPr>
  </w:style>
  <w:style w:type="paragraph" w:customStyle="1" w:styleId="77">
    <w:name w:val="标准文件_附录标识"/>
    <w:next w:val="57"/>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8">
    <w:name w:val="标准文件_附录表标题"/>
    <w:next w:val="57"/>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79">
    <w:name w:val="标准文件_附录一级条标题"/>
    <w:next w:val="57"/>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0">
    <w:name w:val="标准文件_附录二级条标题"/>
    <w:basedOn w:val="79"/>
    <w:next w:val="57"/>
    <w:qFormat/>
    <w:uiPriority w:val="0"/>
    <w:pPr>
      <w:widowControl/>
      <w:numPr>
        <w:ilvl w:val="2"/>
      </w:numPr>
      <w:wordWrap w:val="0"/>
      <w:overflowPunct w:val="0"/>
      <w:autoSpaceDE w:val="0"/>
      <w:autoSpaceDN w:val="0"/>
      <w:textAlignment w:val="baseline"/>
      <w:outlineLvl w:val="3"/>
    </w:pPr>
  </w:style>
  <w:style w:type="paragraph" w:customStyle="1" w:styleId="81">
    <w:name w:val="标准文件_附录公式"/>
    <w:basedOn w:val="56"/>
    <w:next w:val="56"/>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2">
    <w:name w:val="标准文件_附录三级条标题"/>
    <w:next w:val="57"/>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3">
    <w:name w:val="标准文件_附录四级条标题"/>
    <w:next w:val="57"/>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4">
    <w:name w:val="标准文件_附录图标题"/>
    <w:next w:val="57"/>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5">
    <w:name w:val="标准文件_附录五级条标题"/>
    <w:next w:val="57"/>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6">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7">
    <w:name w:val="正文文本 字符"/>
    <w:link w:val="13"/>
    <w:qFormat/>
    <w:uiPriority w:val="0"/>
    <w:rPr>
      <w:kern w:val="2"/>
      <w:sz w:val="21"/>
      <w:szCs w:val="21"/>
    </w:rPr>
  </w:style>
  <w:style w:type="paragraph" w:customStyle="1" w:styleId="88">
    <w:name w:val="标准文件_附录章标题"/>
    <w:next w:val="57"/>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9">
    <w:name w:val="标准文件_公式后的破折号"/>
    <w:basedOn w:val="57"/>
    <w:next w:val="57"/>
    <w:qFormat/>
    <w:uiPriority w:val="0"/>
    <w:pPr>
      <w:ind w:left="488" w:leftChars="200" w:hanging="289" w:hangingChars="290"/>
    </w:pPr>
  </w:style>
  <w:style w:type="paragraph" w:customStyle="1" w:styleId="90">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1">
    <w:name w:val="标准文件_目次、标准名称标题"/>
    <w:basedOn w:val="90"/>
    <w:next w:val="57"/>
    <w:qFormat/>
    <w:uiPriority w:val="0"/>
    <w:pPr>
      <w:spacing w:line="460" w:lineRule="exact"/>
      <w:ind w:left="0" w:firstLine="0"/>
    </w:pPr>
  </w:style>
  <w:style w:type="paragraph" w:customStyle="1" w:styleId="92">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3">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4">
    <w:name w:val="标准文件_破折号列项（二级）"/>
    <w:basedOn w:val="93"/>
    <w:qFormat/>
    <w:uiPriority w:val="0"/>
    <w:pPr>
      <w:numPr>
        <w:numId w:val="10"/>
      </w:numPr>
    </w:pPr>
  </w:style>
  <w:style w:type="paragraph" w:customStyle="1" w:styleId="95">
    <w:name w:val="标准文件_三级条标题"/>
    <w:basedOn w:val="66"/>
    <w:next w:val="57"/>
    <w:qFormat/>
    <w:uiPriority w:val="0"/>
    <w:pPr>
      <w:widowControl/>
      <w:numPr>
        <w:ilvl w:val="4"/>
      </w:numPr>
      <w:outlineLvl w:val="3"/>
    </w:pPr>
  </w:style>
  <w:style w:type="character" w:customStyle="1" w:styleId="96">
    <w:name w:val="不明显参考1"/>
    <w:qFormat/>
    <w:uiPriority w:val="31"/>
    <w:rPr>
      <w:smallCaps/>
      <w:color w:val="C0504D"/>
      <w:u w:val="single"/>
    </w:rPr>
  </w:style>
  <w:style w:type="paragraph" w:customStyle="1" w:styleId="97">
    <w:name w:val="标准文件_示例后续"/>
    <w:basedOn w:val="1"/>
    <w:qFormat/>
    <w:uiPriority w:val="0"/>
    <w:pPr>
      <w:adjustRightInd/>
      <w:spacing w:line="240" w:lineRule="auto"/>
      <w:ind w:firstLine="200" w:firstLineChars="200"/>
    </w:pPr>
    <w:rPr>
      <w:sz w:val="18"/>
      <w:szCs w:val="24"/>
    </w:rPr>
  </w:style>
  <w:style w:type="paragraph" w:customStyle="1" w:styleId="98">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9">
    <w:name w:val="标准文件_四级条标题"/>
    <w:next w:val="57"/>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0">
    <w:name w:val="脚注文本 字符"/>
    <w:link w:val="21"/>
    <w:semiHidden/>
    <w:qFormat/>
    <w:uiPriority w:val="0"/>
    <w:rPr>
      <w:rFonts w:ascii="宋体"/>
      <w:kern w:val="2"/>
      <w:sz w:val="18"/>
      <w:szCs w:val="18"/>
    </w:rPr>
  </w:style>
  <w:style w:type="paragraph" w:customStyle="1" w:styleId="101">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2">
    <w:name w:val="标准文件_图表脚注"/>
    <w:basedOn w:val="1"/>
    <w:next w:val="57"/>
    <w:qFormat/>
    <w:uiPriority w:val="0"/>
    <w:pPr>
      <w:numPr>
        <w:ilvl w:val="0"/>
        <w:numId w:val="12"/>
      </w:numPr>
      <w:spacing w:line="240" w:lineRule="auto"/>
      <w:jc w:val="left"/>
    </w:pPr>
    <w:rPr>
      <w:rFonts w:ascii="宋体" w:hAnsi="宋体"/>
      <w:sz w:val="18"/>
    </w:rPr>
  </w:style>
  <w:style w:type="character" w:customStyle="1" w:styleId="103">
    <w:name w:val="标准文件_图表脚注内容"/>
    <w:qFormat/>
    <w:uiPriority w:val="0"/>
    <w:rPr>
      <w:rFonts w:ascii="宋体" w:hAnsi="宋体" w:eastAsia="宋体" w:cs="Times New Roman"/>
      <w:spacing w:val="0"/>
      <w:sz w:val="18"/>
      <w:vertAlign w:val="superscript"/>
    </w:rPr>
  </w:style>
  <w:style w:type="paragraph" w:customStyle="1" w:styleId="104">
    <w:name w:val="标准文件_五级条标题"/>
    <w:next w:val="57"/>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5">
    <w:name w:val="标准文件_章标题"/>
    <w:next w:val="57"/>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6">
    <w:name w:val="标准文件_一级条标题"/>
    <w:basedOn w:val="105"/>
    <w:next w:val="57"/>
    <w:link w:val="236"/>
    <w:qFormat/>
    <w:uiPriority w:val="0"/>
    <w:pPr>
      <w:numPr>
        <w:ilvl w:val="0"/>
        <w:numId w:val="0"/>
      </w:numPr>
      <w:spacing w:before="50" w:beforeLines="50" w:after="50" w:afterLines="50"/>
      <w:outlineLvl w:val="1"/>
    </w:pPr>
  </w:style>
  <w:style w:type="paragraph" w:customStyle="1" w:styleId="107">
    <w:name w:val="标准文件_一致程度"/>
    <w:basedOn w:val="1"/>
    <w:qFormat/>
    <w:uiPriority w:val="0"/>
    <w:pPr>
      <w:spacing w:line="440" w:lineRule="exact"/>
      <w:jc w:val="center"/>
    </w:pPr>
    <w:rPr>
      <w:sz w:val="28"/>
    </w:rPr>
  </w:style>
  <w:style w:type="paragraph" w:customStyle="1" w:styleId="108">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9">
    <w:name w:val="标准文件_英文图表脚注"/>
    <w:basedOn w:val="56"/>
    <w:qFormat/>
    <w:uiPriority w:val="0"/>
    <w:pPr>
      <w:widowControl/>
      <w:adjustRightInd/>
      <w:snapToGrid/>
      <w:spacing w:line="240" w:lineRule="auto"/>
      <w:ind w:left="79" w:hanging="79" w:hangingChars="80"/>
    </w:pPr>
    <w:rPr>
      <w:rFonts w:ascii="宋体" w:hAnsi="宋体"/>
    </w:rPr>
  </w:style>
  <w:style w:type="paragraph" w:customStyle="1" w:styleId="110">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1">
    <w:name w:val="标准文件_英文注："/>
    <w:basedOn w:val="1"/>
    <w:next w:val="57"/>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2">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3">
    <w:name w:val="标准文件_正文表标题"/>
    <w:next w:val="57"/>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4">
    <w:name w:val="标准文件_正文公式"/>
    <w:basedOn w:val="1"/>
    <w:next w:val="56"/>
    <w:qFormat/>
    <w:uiPriority w:val="0"/>
    <w:pPr>
      <w:tabs>
        <w:tab w:val="center" w:pos="4678"/>
        <w:tab w:val="right" w:leader="middleDot" w:pos="9356"/>
      </w:tabs>
      <w:spacing w:line="240" w:lineRule="auto"/>
    </w:pPr>
    <w:rPr>
      <w:rFonts w:ascii="宋体" w:hAnsi="宋体"/>
    </w:rPr>
  </w:style>
  <w:style w:type="paragraph" w:customStyle="1" w:styleId="115">
    <w:name w:val="标准文件_正文图标题"/>
    <w:next w:val="57"/>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6">
    <w:name w:val="标准文件_正文英文表标题"/>
    <w:next w:val="57"/>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7">
    <w:name w:val="标准文件_正文英文图标题"/>
    <w:next w:val="57"/>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8">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9">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0">
    <w:name w:val="发布部门"/>
    <w:next w:val="57"/>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2">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3">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6">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7">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8">
    <w:name w:val="封面正文"/>
    <w:qFormat/>
    <w:uiPriority w:val="0"/>
    <w:pPr>
      <w:jc w:val="both"/>
    </w:pPr>
    <w:rPr>
      <w:rFonts w:ascii="Times New Roman" w:hAnsi="Times New Roman" w:eastAsia="宋体" w:cs="Times New Roman"/>
      <w:lang w:val="en-US" w:eastAsia="zh-CN" w:bidi="ar-SA"/>
    </w:rPr>
  </w:style>
  <w:style w:type="paragraph" w:customStyle="1" w:styleId="129">
    <w:name w:val="附录二级无标题条"/>
    <w:basedOn w:val="1"/>
    <w:next w:val="57"/>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0">
    <w:name w:val="附录三级无标题条"/>
    <w:basedOn w:val="129"/>
    <w:next w:val="57"/>
    <w:qFormat/>
    <w:uiPriority w:val="0"/>
    <w:pPr>
      <w:outlineLvl w:val="4"/>
    </w:pPr>
  </w:style>
  <w:style w:type="paragraph" w:customStyle="1" w:styleId="131">
    <w:name w:val="附录四级无标题条"/>
    <w:basedOn w:val="130"/>
    <w:next w:val="57"/>
    <w:qFormat/>
    <w:uiPriority w:val="0"/>
    <w:pPr>
      <w:outlineLvl w:val="5"/>
    </w:pPr>
  </w:style>
  <w:style w:type="paragraph" w:customStyle="1" w:styleId="132">
    <w:name w:val="附录图"/>
    <w:next w:val="57"/>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3">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4">
    <w:name w:val="附录五级无标题条"/>
    <w:basedOn w:val="131"/>
    <w:next w:val="57"/>
    <w:qFormat/>
    <w:uiPriority w:val="0"/>
    <w:pPr>
      <w:outlineLvl w:val="6"/>
    </w:pPr>
  </w:style>
  <w:style w:type="paragraph" w:customStyle="1" w:styleId="135">
    <w:name w:val="附录性质"/>
    <w:basedOn w:val="1"/>
    <w:qFormat/>
    <w:uiPriority w:val="0"/>
    <w:pPr>
      <w:widowControl/>
      <w:adjustRightInd/>
      <w:jc w:val="center"/>
    </w:pPr>
    <w:rPr>
      <w:rFonts w:ascii="黑体" w:eastAsia="黑体"/>
    </w:rPr>
  </w:style>
  <w:style w:type="paragraph" w:customStyle="1" w:styleId="136">
    <w:name w:val="附录一级无标题条"/>
    <w:basedOn w:val="88"/>
    <w:next w:val="57"/>
    <w:qFormat/>
    <w:uiPriority w:val="0"/>
    <w:pPr>
      <w:autoSpaceDN w:val="0"/>
      <w:outlineLvl w:val="2"/>
    </w:pPr>
    <w:rPr>
      <w:rFonts w:ascii="宋体" w:hAnsi="宋体" w:eastAsia="宋体"/>
    </w:rPr>
  </w:style>
  <w:style w:type="character" w:customStyle="1" w:styleId="137">
    <w:name w:val="个人答复风格"/>
    <w:qFormat/>
    <w:uiPriority w:val="0"/>
    <w:rPr>
      <w:rFonts w:ascii="Arial" w:hAnsi="Arial" w:eastAsia="宋体" w:cs="Arial"/>
      <w:color w:val="auto"/>
      <w:spacing w:val="0"/>
      <w:sz w:val="20"/>
    </w:rPr>
  </w:style>
  <w:style w:type="character" w:customStyle="1" w:styleId="138">
    <w:name w:val="个人撰写风格"/>
    <w:qFormat/>
    <w:uiPriority w:val="0"/>
    <w:rPr>
      <w:rFonts w:ascii="Arial" w:hAnsi="Arial" w:eastAsia="宋体" w:cs="Arial"/>
      <w:color w:val="auto"/>
      <w:spacing w:val="0"/>
      <w:sz w:val="20"/>
    </w:rPr>
  </w:style>
  <w:style w:type="paragraph" w:customStyle="1" w:styleId="139">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0">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1">
    <w:name w:val="列项·"/>
    <w:basedOn w:val="57"/>
    <w:qFormat/>
    <w:uiPriority w:val="0"/>
    <w:pPr>
      <w:tabs>
        <w:tab w:val="left" w:pos="840"/>
      </w:tabs>
    </w:pPr>
  </w:style>
  <w:style w:type="paragraph" w:customStyle="1" w:styleId="14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3">
    <w:name w:val="目录 21"/>
    <w:basedOn w:val="1"/>
    <w:next w:val="1"/>
    <w:semiHidden/>
    <w:qFormat/>
    <w:uiPriority w:val="0"/>
    <w:pPr>
      <w:adjustRightInd/>
      <w:spacing w:line="240" w:lineRule="auto"/>
      <w:jc w:val="left"/>
    </w:pPr>
    <w:rPr>
      <w:bCs/>
      <w:iCs/>
    </w:rPr>
  </w:style>
  <w:style w:type="paragraph" w:customStyle="1" w:styleId="144">
    <w:name w:val="目录 31"/>
    <w:basedOn w:val="1"/>
    <w:next w:val="1"/>
    <w:semiHidden/>
    <w:qFormat/>
    <w:uiPriority w:val="0"/>
    <w:pPr>
      <w:spacing w:line="240" w:lineRule="auto"/>
    </w:pPr>
    <w:rPr>
      <w:rFonts w:ascii="宋体" w:hAnsi="宋体"/>
      <w:iCs/>
    </w:rPr>
  </w:style>
  <w:style w:type="paragraph" w:customStyle="1" w:styleId="145">
    <w:name w:val="目录 41"/>
    <w:basedOn w:val="1"/>
    <w:next w:val="1"/>
    <w:semiHidden/>
    <w:qFormat/>
    <w:uiPriority w:val="0"/>
    <w:pPr>
      <w:adjustRightInd/>
      <w:spacing w:line="240" w:lineRule="auto"/>
      <w:jc w:val="left"/>
    </w:pPr>
  </w:style>
  <w:style w:type="paragraph" w:customStyle="1" w:styleId="146">
    <w:name w:val="目录 51"/>
    <w:basedOn w:val="1"/>
    <w:next w:val="1"/>
    <w:semiHidden/>
    <w:qFormat/>
    <w:uiPriority w:val="0"/>
    <w:pPr>
      <w:spacing w:line="240" w:lineRule="auto"/>
    </w:pPr>
    <w:rPr>
      <w:rFonts w:ascii="宋体" w:hAnsi="宋体"/>
    </w:rPr>
  </w:style>
  <w:style w:type="paragraph" w:customStyle="1" w:styleId="147">
    <w:name w:val="目录 61"/>
    <w:basedOn w:val="1"/>
    <w:next w:val="1"/>
    <w:semiHidden/>
    <w:qFormat/>
    <w:uiPriority w:val="0"/>
    <w:pPr>
      <w:adjustRightInd/>
      <w:spacing w:line="240" w:lineRule="auto"/>
      <w:jc w:val="left"/>
    </w:pPr>
  </w:style>
  <w:style w:type="paragraph" w:customStyle="1" w:styleId="148">
    <w:name w:val="目录 71"/>
    <w:basedOn w:val="147"/>
    <w:semiHidden/>
    <w:qFormat/>
    <w:uiPriority w:val="0"/>
    <w:pPr>
      <w:ind w:left="1260"/>
    </w:pPr>
  </w:style>
  <w:style w:type="paragraph" w:customStyle="1" w:styleId="149">
    <w:name w:val="目录 81"/>
    <w:basedOn w:val="148"/>
    <w:semiHidden/>
    <w:qFormat/>
    <w:uiPriority w:val="0"/>
    <w:pPr>
      <w:ind w:left="1470"/>
    </w:pPr>
  </w:style>
  <w:style w:type="paragraph" w:customStyle="1" w:styleId="150">
    <w:name w:val="目录 91"/>
    <w:basedOn w:val="149"/>
    <w:semiHidden/>
    <w:qFormat/>
    <w:uiPriority w:val="0"/>
    <w:pPr>
      <w:ind w:left="1680"/>
    </w:pPr>
  </w:style>
  <w:style w:type="paragraph" w:customStyle="1" w:styleId="151">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2">
    <w:name w:val="其他发布部门"/>
    <w:basedOn w:val="120"/>
    <w:qFormat/>
    <w:uiPriority w:val="0"/>
    <w:pPr>
      <w:spacing w:line="0" w:lineRule="atLeast"/>
    </w:pPr>
    <w:rPr>
      <w:rFonts w:ascii="黑体" w:eastAsia="黑体"/>
      <w:b w:val="0"/>
    </w:rPr>
  </w:style>
  <w:style w:type="paragraph" w:customStyle="1" w:styleId="153">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4">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5">
    <w:name w:val="实施日期"/>
    <w:basedOn w:val="121"/>
    <w:qFormat/>
    <w:uiPriority w:val="0"/>
    <w:pPr>
      <w:framePr w:hSpace="0" w:xAlign="right"/>
      <w:jc w:val="right"/>
    </w:pPr>
  </w:style>
  <w:style w:type="paragraph" w:customStyle="1" w:styleId="156">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7">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8">
    <w:name w:val="无标题条"/>
    <w:next w:val="57"/>
    <w:qFormat/>
    <w:uiPriority w:val="0"/>
    <w:pPr>
      <w:jc w:val="both"/>
    </w:pPr>
    <w:rPr>
      <w:rFonts w:ascii="宋体" w:hAnsi="宋体" w:eastAsia="宋体" w:cs="Times New Roman"/>
      <w:sz w:val="21"/>
      <w:lang w:val="en-US" w:eastAsia="zh-CN" w:bidi="ar-SA"/>
    </w:rPr>
  </w:style>
  <w:style w:type="paragraph" w:customStyle="1" w:styleId="159">
    <w:name w:val="五级无标题条"/>
    <w:basedOn w:val="1"/>
    <w:qFormat/>
    <w:uiPriority w:val="0"/>
    <w:pPr>
      <w:numPr>
        <w:ilvl w:val="6"/>
        <w:numId w:val="20"/>
      </w:numPr>
      <w:adjustRightInd/>
    </w:pPr>
    <w:rPr>
      <w:szCs w:val="24"/>
    </w:rPr>
  </w:style>
  <w:style w:type="paragraph" w:customStyle="1" w:styleId="160">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1">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2">
    <w:name w:val="注×:后续"/>
    <w:basedOn w:val="161"/>
    <w:qFormat/>
    <w:uiPriority w:val="0"/>
    <w:pPr>
      <w:ind w:left="1406" w:leftChars="0" w:hanging="499" w:firstLineChars="0"/>
    </w:pPr>
  </w:style>
  <w:style w:type="paragraph" w:customStyle="1" w:styleId="163">
    <w:name w:val="标准文件_一级无标题"/>
    <w:basedOn w:val="106"/>
    <w:link w:val="237"/>
    <w:qFormat/>
    <w:uiPriority w:val="0"/>
    <w:pPr>
      <w:spacing w:before="0" w:beforeLines="0" w:after="0" w:afterLines="0"/>
      <w:outlineLvl w:val="9"/>
    </w:pPr>
    <w:rPr>
      <w:rFonts w:ascii="宋体" w:eastAsia="宋体"/>
    </w:rPr>
  </w:style>
  <w:style w:type="paragraph" w:customStyle="1" w:styleId="164">
    <w:name w:val="标准文件_五级无标题"/>
    <w:basedOn w:val="104"/>
    <w:qFormat/>
    <w:uiPriority w:val="0"/>
    <w:pPr>
      <w:spacing w:before="0" w:beforeLines="0" w:after="0" w:afterLines="0"/>
      <w:outlineLvl w:val="9"/>
    </w:pPr>
    <w:rPr>
      <w:rFonts w:ascii="宋体" w:eastAsia="宋体"/>
    </w:rPr>
  </w:style>
  <w:style w:type="paragraph" w:customStyle="1" w:styleId="165">
    <w:name w:val="标准文件_三级无标题"/>
    <w:basedOn w:val="95"/>
    <w:qFormat/>
    <w:uiPriority w:val="0"/>
    <w:pPr>
      <w:spacing w:before="0" w:beforeLines="0" w:after="0" w:afterLines="0"/>
      <w:outlineLvl w:val="9"/>
    </w:pPr>
    <w:rPr>
      <w:rFonts w:ascii="宋体" w:eastAsia="宋体"/>
    </w:rPr>
  </w:style>
  <w:style w:type="paragraph" w:customStyle="1" w:styleId="166">
    <w:name w:val="标准文件_二级无标题"/>
    <w:basedOn w:val="66"/>
    <w:link w:val="234"/>
    <w:qFormat/>
    <w:uiPriority w:val="0"/>
    <w:pPr>
      <w:spacing w:before="0" w:beforeLines="0" w:after="0" w:afterLines="0"/>
      <w:outlineLvl w:val="9"/>
    </w:pPr>
    <w:rPr>
      <w:rFonts w:ascii="宋体" w:eastAsia="宋体"/>
    </w:rPr>
  </w:style>
  <w:style w:type="paragraph" w:customStyle="1" w:styleId="167">
    <w:name w:val="标准_四级无标题"/>
    <w:basedOn w:val="99"/>
    <w:next w:val="57"/>
    <w:qFormat/>
    <w:uiPriority w:val="0"/>
    <w:rPr>
      <w:rFonts w:eastAsia="宋体"/>
    </w:rPr>
  </w:style>
  <w:style w:type="paragraph" w:customStyle="1" w:styleId="168">
    <w:name w:val="标准文件_四级无标题"/>
    <w:basedOn w:val="99"/>
    <w:qFormat/>
    <w:uiPriority w:val="0"/>
    <w:pPr>
      <w:spacing w:before="0" w:beforeLines="0" w:after="0" w:afterLines="0"/>
      <w:outlineLvl w:val="9"/>
    </w:pPr>
    <w:rPr>
      <w:rFonts w:ascii="宋体" w:hAnsi="黑体" w:eastAsia="宋体"/>
      <w:szCs w:val="52"/>
    </w:rPr>
  </w:style>
  <w:style w:type="paragraph" w:customStyle="1" w:styleId="169">
    <w:name w:val="标准文件_大写罗马数字编号列项"/>
    <w:basedOn w:val="57"/>
    <w:qFormat/>
    <w:uiPriority w:val="0"/>
    <w:pPr>
      <w:numPr>
        <w:ilvl w:val="0"/>
        <w:numId w:val="23"/>
      </w:numPr>
      <w:ind w:firstLine="0" w:firstLineChars="0"/>
    </w:pPr>
    <w:rPr>
      <w:rFonts w:ascii="Times New Roman" w:cs="Arial"/>
      <w:szCs w:val="28"/>
    </w:rPr>
  </w:style>
  <w:style w:type="paragraph" w:customStyle="1" w:styleId="170">
    <w:name w:val="标准文件_小写罗马数字编号列项"/>
    <w:basedOn w:val="57"/>
    <w:qFormat/>
    <w:uiPriority w:val="0"/>
    <w:pPr>
      <w:numPr>
        <w:ilvl w:val="0"/>
        <w:numId w:val="24"/>
      </w:numPr>
      <w:ind w:firstLine="0" w:firstLineChars="0"/>
    </w:pPr>
    <w:rPr>
      <w:rFonts w:cs="Arial"/>
      <w:szCs w:val="28"/>
    </w:rPr>
  </w:style>
  <w:style w:type="paragraph" w:customStyle="1" w:styleId="171">
    <w:name w:val="标准文件_附录标题"/>
    <w:basedOn w:val="77"/>
    <w:qFormat/>
    <w:uiPriority w:val="0"/>
    <w:pPr>
      <w:numPr>
        <w:numId w:val="0"/>
      </w:numPr>
      <w:spacing w:after="280"/>
      <w:outlineLvl w:val="9"/>
    </w:pPr>
  </w:style>
  <w:style w:type="paragraph" w:customStyle="1" w:styleId="172">
    <w:name w:val="标准文件_二级项"/>
    <w:qFormat/>
    <w:uiPriority w:val="0"/>
    <w:rPr>
      <w:rFonts w:ascii="宋体" w:hAnsi="Times New Roman" w:eastAsia="宋体" w:cs="Times New Roman"/>
      <w:sz w:val="21"/>
      <w:lang w:val="en-US" w:eastAsia="zh-CN" w:bidi="ar-SA"/>
    </w:rPr>
  </w:style>
  <w:style w:type="paragraph" w:customStyle="1" w:styleId="173">
    <w:name w:val="标准文件_三级项"/>
    <w:basedOn w:val="1"/>
    <w:qFormat/>
    <w:uiPriority w:val="0"/>
    <w:pPr>
      <w:numPr>
        <w:ilvl w:val="2"/>
        <w:numId w:val="21"/>
      </w:numPr>
      <w:spacing w:line="536870612" w:lineRule="auto"/>
    </w:pPr>
    <w:rPr>
      <w:rFonts w:ascii="Times New Roman" w:hAnsi="Times New Roman"/>
    </w:rPr>
  </w:style>
  <w:style w:type="paragraph" w:customStyle="1" w:styleId="174">
    <w:name w:val="图表脚注说明"/>
    <w:basedOn w:val="1"/>
    <w:next w:val="57"/>
    <w:qFormat/>
    <w:uiPriority w:val="0"/>
    <w:pPr>
      <w:numPr>
        <w:ilvl w:val="0"/>
        <w:numId w:val="25"/>
      </w:numPr>
      <w:adjustRightInd/>
      <w:spacing w:line="240" w:lineRule="auto"/>
    </w:pPr>
    <w:rPr>
      <w:rFonts w:ascii="宋体" w:hAnsi="Times New Roman"/>
      <w:sz w:val="18"/>
      <w:szCs w:val="18"/>
    </w:rPr>
  </w:style>
  <w:style w:type="paragraph" w:customStyle="1" w:styleId="175">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6">
    <w:name w:val="标准文件_索引字母"/>
    <w:next w:val="57"/>
    <w:qFormat/>
    <w:uiPriority w:val="0"/>
    <w:pPr>
      <w:jc w:val="center"/>
    </w:pPr>
    <w:rPr>
      <w:rFonts w:ascii="宋体" w:hAnsi="宋体" w:eastAsia="Times New Roman" w:cs="Times New Roman"/>
      <w:b/>
      <w:kern w:val="2"/>
      <w:sz w:val="21"/>
      <w:lang w:val="en-US" w:eastAsia="zh-CN" w:bidi="ar-SA"/>
    </w:rPr>
  </w:style>
  <w:style w:type="paragraph" w:customStyle="1" w:styleId="177">
    <w:name w:val="标准文件_附录前"/>
    <w:next w:val="57"/>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8">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9">
    <w:name w:val="标准文件_表格"/>
    <w:basedOn w:val="57"/>
    <w:qFormat/>
    <w:uiPriority w:val="0"/>
    <w:pPr>
      <w:ind w:firstLine="0" w:firstLineChars="0"/>
      <w:jc w:val="center"/>
    </w:pPr>
    <w:rPr>
      <w:sz w:val="18"/>
    </w:rPr>
  </w:style>
  <w:style w:type="paragraph" w:customStyle="1" w:styleId="180">
    <w:name w:val="标准文件_注："/>
    <w:next w:val="57"/>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示例："/>
    <w:next w:val="183"/>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3">
    <w:name w:val="标准文件_示例内容"/>
    <w:basedOn w:val="57"/>
    <w:qFormat/>
    <w:uiPriority w:val="0"/>
    <w:rPr>
      <w:sz w:val="18"/>
    </w:rPr>
  </w:style>
  <w:style w:type="paragraph" w:customStyle="1" w:styleId="184">
    <w:name w:val="标准文件_示例×："/>
    <w:basedOn w:val="1"/>
    <w:next w:val="183"/>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5">
    <w:name w:val="标准文件_段 Char"/>
    <w:link w:val="57"/>
    <w:qFormat/>
    <w:uiPriority w:val="0"/>
    <w:rPr>
      <w:rFonts w:ascii="宋体"/>
      <w:sz w:val="21"/>
    </w:rPr>
  </w:style>
  <w:style w:type="paragraph" w:customStyle="1" w:styleId="186">
    <w:name w:val="标准文件_表格续"/>
    <w:basedOn w:val="57"/>
    <w:next w:val="57"/>
    <w:qFormat/>
    <w:uiPriority w:val="0"/>
    <w:pPr>
      <w:jc w:val="center"/>
    </w:pPr>
    <w:rPr>
      <w:rFonts w:ascii="黑体" w:hAnsi="黑体" w:eastAsia="黑体"/>
    </w:rPr>
  </w:style>
  <w:style w:type="character" w:styleId="187">
    <w:name w:val="Placeholder Text"/>
    <w:basedOn w:val="29"/>
    <w:semiHidden/>
    <w:qFormat/>
    <w:uiPriority w:val="99"/>
    <w:rPr>
      <w:color w:val="808080"/>
    </w:rPr>
  </w:style>
  <w:style w:type="paragraph" w:customStyle="1" w:styleId="188">
    <w:name w:val="标准文件_二级项2"/>
    <w:basedOn w:val="57"/>
    <w:qFormat/>
    <w:uiPriority w:val="0"/>
    <w:pPr>
      <w:numPr>
        <w:ilvl w:val="1"/>
        <w:numId w:val="21"/>
      </w:numPr>
      <w:ind w:firstLine="0" w:firstLineChars="0"/>
    </w:pPr>
  </w:style>
  <w:style w:type="paragraph" w:customStyle="1" w:styleId="189">
    <w:name w:val="标准文件_三级项2"/>
    <w:basedOn w:val="57"/>
    <w:qFormat/>
    <w:uiPriority w:val="0"/>
    <w:pPr>
      <w:numPr>
        <w:ilvl w:val="0"/>
        <w:numId w:val="30"/>
      </w:numPr>
      <w:spacing w:line="300" w:lineRule="exact"/>
      <w:ind w:firstLineChars="0"/>
    </w:pPr>
    <w:rPr>
      <w:rFonts w:ascii="Times New Roman"/>
    </w:rPr>
  </w:style>
  <w:style w:type="paragraph" w:customStyle="1" w:styleId="190">
    <w:name w:val="标准文件_一级项2"/>
    <w:basedOn w:val="57"/>
    <w:qFormat/>
    <w:uiPriority w:val="0"/>
    <w:pPr>
      <w:numPr>
        <w:ilvl w:val="0"/>
        <w:numId w:val="31"/>
      </w:numPr>
      <w:spacing w:line="300" w:lineRule="exact"/>
      <w:ind w:firstLineChars="0"/>
    </w:pPr>
    <w:rPr>
      <w:rFonts w:ascii="Times New Roman"/>
    </w:rPr>
  </w:style>
  <w:style w:type="paragraph" w:customStyle="1" w:styleId="191">
    <w:name w:val="标准文件_提示"/>
    <w:basedOn w:val="57"/>
    <w:next w:val="57"/>
    <w:qFormat/>
    <w:uiPriority w:val="0"/>
    <w:rPr>
      <w:rFonts w:ascii="黑体" w:eastAsia="黑体"/>
    </w:rPr>
  </w:style>
  <w:style w:type="character" w:customStyle="1" w:styleId="192">
    <w:name w:val="标准文件_来源"/>
    <w:basedOn w:val="29"/>
    <w:qFormat/>
    <w:uiPriority w:val="1"/>
    <w:rPr>
      <w:rFonts w:eastAsia="宋体"/>
      <w:sz w:val="21"/>
    </w:rPr>
  </w:style>
  <w:style w:type="paragraph" w:customStyle="1" w:styleId="193">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4">
    <w:name w:val="其他发布日期"/>
    <w:basedOn w:val="121"/>
    <w:qFormat/>
    <w:uiPriority w:val="0"/>
    <w:pPr>
      <w:framePr w:w="3997" w:h="471" w:hRule="exact" w:hSpace="0" w:vSpace="181" w:vAnchor="page" w:hAnchor="page" w:x="1419" w:y="14097"/>
    </w:pPr>
  </w:style>
  <w:style w:type="paragraph" w:customStyle="1" w:styleId="195">
    <w:name w:val="其他实施日期"/>
    <w:basedOn w:val="155"/>
    <w:qFormat/>
    <w:uiPriority w:val="0"/>
    <w:pPr>
      <w:framePr w:w="3997" w:h="471" w:hRule="exact" w:vSpace="181" w:vAnchor="page" w:hAnchor="page" w:x="7089" w:y="14097"/>
    </w:pPr>
  </w:style>
  <w:style w:type="paragraph" w:customStyle="1" w:styleId="196">
    <w:name w:val="标准文件_文件编号"/>
    <w:basedOn w:val="57"/>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7">
    <w:name w:val="标准文件_替换文件编号"/>
    <w:basedOn w:val="196"/>
    <w:qFormat/>
    <w:uiPriority w:val="0"/>
    <w:pPr>
      <w:spacing w:before="57"/>
    </w:pPr>
    <w:rPr>
      <w:sz w:val="21"/>
    </w:rPr>
  </w:style>
  <w:style w:type="paragraph" w:customStyle="1" w:styleId="198">
    <w:name w:val="标准文件_文件名称"/>
    <w:basedOn w:val="57"/>
    <w:next w:val="57"/>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9">
    <w:name w:val="标准文件_附录图标号"/>
    <w:basedOn w:val="57"/>
    <w:next w:val="57"/>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0">
    <w:name w:val="标准文件_附录表标号"/>
    <w:basedOn w:val="57"/>
    <w:next w:val="57"/>
    <w:qFormat/>
    <w:uiPriority w:val="0"/>
    <w:pPr>
      <w:numPr>
        <w:ilvl w:val="0"/>
        <w:numId w:val="5"/>
      </w:numPr>
      <w:spacing w:line="14" w:lineRule="exact"/>
      <w:ind w:firstLine="0" w:firstLineChars="0"/>
      <w:jc w:val="center"/>
    </w:pPr>
    <w:rPr>
      <w:rFonts w:eastAsia="黑体"/>
      <w:vanish/>
      <w:sz w:val="2"/>
    </w:rPr>
  </w:style>
  <w:style w:type="paragraph" w:customStyle="1" w:styleId="201">
    <w:name w:val="标准文件_引言一级条标题"/>
    <w:basedOn w:val="57"/>
    <w:next w:val="57"/>
    <w:qFormat/>
    <w:uiPriority w:val="0"/>
    <w:pPr>
      <w:numPr>
        <w:ilvl w:val="1"/>
        <w:numId w:val="8"/>
      </w:numPr>
      <w:spacing w:before="50" w:beforeLines="50" w:after="50" w:afterLines="50"/>
      <w:ind w:firstLineChars="0"/>
    </w:pPr>
    <w:rPr>
      <w:rFonts w:ascii="黑体" w:eastAsia="黑体"/>
    </w:rPr>
  </w:style>
  <w:style w:type="paragraph" w:customStyle="1" w:styleId="202">
    <w:name w:val="标准文件_引言二级条标题"/>
    <w:basedOn w:val="57"/>
    <w:next w:val="57"/>
    <w:qFormat/>
    <w:uiPriority w:val="0"/>
    <w:pPr>
      <w:numPr>
        <w:ilvl w:val="2"/>
        <w:numId w:val="8"/>
      </w:numPr>
      <w:spacing w:before="50" w:beforeLines="50" w:after="50" w:afterLines="50"/>
      <w:ind w:firstLineChars="0"/>
    </w:pPr>
    <w:rPr>
      <w:rFonts w:ascii="黑体" w:eastAsia="黑体"/>
    </w:rPr>
  </w:style>
  <w:style w:type="paragraph" w:customStyle="1" w:styleId="203">
    <w:name w:val="标准文件_引言三级条标题"/>
    <w:basedOn w:val="57"/>
    <w:next w:val="57"/>
    <w:qFormat/>
    <w:uiPriority w:val="0"/>
    <w:pPr>
      <w:numPr>
        <w:ilvl w:val="3"/>
        <w:numId w:val="8"/>
      </w:numPr>
      <w:spacing w:before="50" w:beforeLines="50" w:after="50" w:afterLines="50"/>
      <w:ind w:firstLineChars="0"/>
    </w:pPr>
    <w:rPr>
      <w:rFonts w:ascii="黑体" w:eastAsia="黑体"/>
    </w:rPr>
  </w:style>
  <w:style w:type="paragraph" w:customStyle="1" w:styleId="204">
    <w:name w:val="标准文件_引言四级条标题"/>
    <w:basedOn w:val="57"/>
    <w:next w:val="57"/>
    <w:qFormat/>
    <w:uiPriority w:val="0"/>
    <w:pPr>
      <w:numPr>
        <w:ilvl w:val="4"/>
        <w:numId w:val="8"/>
      </w:numPr>
      <w:spacing w:before="50" w:beforeLines="50" w:after="50" w:afterLines="50"/>
      <w:ind w:firstLineChars="0"/>
    </w:pPr>
    <w:rPr>
      <w:rFonts w:ascii="黑体" w:eastAsia="黑体"/>
    </w:rPr>
  </w:style>
  <w:style w:type="paragraph" w:customStyle="1" w:styleId="205">
    <w:name w:val="标准文件_引言五级条标题"/>
    <w:basedOn w:val="57"/>
    <w:next w:val="57"/>
    <w:qFormat/>
    <w:uiPriority w:val="0"/>
    <w:pPr>
      <w:numPr>
        <w:ilvl w:val="5"/>
        <w:numId w:val="8"/>
      </w:numPr>
      <w:spacing w:before="50" w:beforeLines="50" w:after="50" w:afterLines="50"/>
      <w:ind w:firstLineChars="0"/>
    </w:pPr>
    <w:rPr>
      <w:rFonts w:ascii="黑体" w:eastAsia="黑体"/>
    </w:rPr>
  </w:style>
  <w:style w:type="paragraph" w:customStyle="1" w:styleId="206">
    <w:name w:val="标准文件_注后"/>
    <w:basedOn w:val="57"/>
    <w:qFormat/>
    <w:uiPriority w:val="0"/>
    <w:pPr>
      <w:ind w:left="811" w:firstLine="0" w:firstLineChars="0"/>
    </w:pPr>
    <w:rPr>
      <w:sz w:val="18"/>
    </w:rPr>
  </w:style>
  <w:style w:type="paragraph" w:customStyle="1" w:styleId="207">
    <w:name w:val="标准文件_注X后"/>
    <w:basedOn w:val="57"/>
    <w:qFormat/>
    <w:uiPriority w:val="0"/>
    <w:pPr>
      <w:ind w:left="811" w:firstLine="0" w:firstLineChars="0"/>
    </w:pPr>
    <w:rPr>
      <w:sz w:val="18"/>
    </w:rPr>
  </w:style>
  <w:style w:type="paragraph" w:customStyle="1" w:styleId="208">
    <w:name w:val="标准文件_示例后"/>
    <w:basedOn w:val="57"/>
    <w:qFormat/>
    <w:uiPriority w:val="0"/>
    <w:pPr>
      <w:ind w:left="964" w:firstLine="0" w:firstLineChars="0"/>
    </w:pPr>
    <w:rPr>
      <w:sz w:val="18"/>
    </w:rPr>
  </w:style>
  <w:style w:type="paragraph" w:customStyle="1" w:styleId="209">
    <w:name w:val="标准文件_示例X后"/>
    <w:basedOn w:val="57"/>
    <w:link w:val="210"/>
    <w:qFormat/>
    <w:uiPriority w:val="0"/>
    <w:pPr>
      <w:ind w:left="1049" w:firstLine="0" w:firstLineChars="0"/>
    </w:pPr>
    <w:rPr>
      <w:sz w:val="18"/>
    </w:rPr>
  </w:style>
  <w:style w:type="character" w:customStyle="1" w:styleId="210">
    <w:name w:val="标准文件_示例X后 字符"/>
    <w:basedOn w:val="185"/>
    <w:link w:val="209"/>
    <w:qFormat/>
    <w:uiPriority w:val="0"/>
    <w:rPr>
      <w:rFonts w:ascii="宋体" w:hAnsi="Times New Roman"/>
      <w:color w:val="FF0000"/>
      <w:sz w:val="18"/>
    </w:rPr>
  </w:style>
  <w:style w:type="paragraph" w:customStyle="1" w:styleId="211">
    <w:name w:val="标准文件_索引项"/>
    <w:basedOn w:val="57"/>
    <w:next w:val="57"/>
    <w:qFormat/>
    <w:uiPriority w:val="0"/>
    <w:pPr>
      <w:tabs>
        <w:tab w:val="right" w:leader="dot" w:pos="9356"/>
      </w:tabs>
      <w:ind w:left="210" w:hanging="210" w:firstLineChars="0"/>
      <w:jc w:val="left"/>
    </w:pPr>
  </w:style>
  <w:style w:type="paragraph" w:customStyle="1" w:styleId="212">
    <w:name w:val="标准文件_附录一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二级无标题"/>
    <w:basedOn w:val="80"/>
    <w:qFormat/>
    <w:uiPriority w:val="0"/>
    <w:pPr>
      <w:spacing w:before="0" w:beforeLines="0" w:after="0" w:afterLines="0" w:line="276" w:lineRule="auto"/>
      <w:outlineLvl w:val="9"/>
    </w:pPr>
    <w:rPr>
      <w:rFonts w:ascii="宋体" w:eastAsia="宋体"/>
    </w:rPr>
  </w:style>
  <w:style w:type="paragraph" w:customStyle="1" w:styleId="214">
    <w:name w:val="标准文件_附录三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四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五级无标题"/>
    <w:basedOn w:val="85"/>
    <w:qFormat/>
    <w:uiPriority w:val="0"/>
    <w:pPr>
      <w:spacing w:before="0" w:beforeLines="0" w:after="0" w:afterLines="0" w:line="276" w:lineRule="auto"/>
      <w:outlineLvl w:val="9"/>
    </w:pPr>
    <w:rPr>
      <w:rFonts w:ascii="宋体" w:eastAsia="宋体"/>
    </w:rPr>
  </w:style>
  <w:style w:type="paragraph" w:customStyle="1" w:styleId="217">
    <w:name w:val="标准文件_引言一级无标题"/>
    <w:basedOn w:val="201"/>
    <w:next w:val="57"/>
    <w:qFormat/>
    <w:uiPriority w:val="0"/>
    <w:pPr>
      <w:spacing w:before="0" w:beforeLines="0" w:after="0" w:afterLines="0" w:line="276" w:lineRule="auto"/>
    </w:pPr>
    <w:rPr>
      <w:rFonts w:ascii="宋体" w:eastAsia="宋体"/>
    </w:rPr>
  </w:style>
  <w:style w:type="paragraph" w:customStyle="1" w:styleId="218">
    <w:name w:val="标准文件_引言二级无标题"/>
    <w:basedOn w:val="202"/>
    <w:next w:val="57"/>
    <w:qFormat/>
    <w:uiPriority w:val="0"/>
    <w:pPr>
      <w:spacing w:before="0" w:beforeLines="0" w:after="0" w:afterLines="0" w:line="276" w:lineRule="auto"/>
    </w:pPr>
    <w:rPr>
      <w:rFonts w:ascii="宋体" w:eastAsia="宋体"/>
    </w:rPr>
  </w:style>
  <w:style w:type="paragraph" w:customStyle="1" w:styleId="219">
    <w:name w:val="标准文件_引言三级无标题"/>
    <w:basedOn w:val="203"/>
    <w:qFormat/>
    <w:uiPriority w:val="0"/>
    <w:pPr>
      <w:spacing w:before="0" w:beforeLines="0" w:after="0" w:afterLines="0" w:line="276" w:lineRule="auto"/>
    </w:pPr>
    <w:rPr>
      <w:rFonts w:ascii="宋体" w:eastAsia="宋体"/>
    </w:rPr>
  </w:style>
  <w:style w:type="paragraph" w:customStyle="1" w:styleId="220">
    <w:name w:val="标准文件_引言四级无标题"/>
    <w:basedOn w:val="204"/>
    <w:next w:val="57"/>
    <w:qFormat/>
    <w:uiPriority w:val="0"/>
    <w:pPr>
      <w:spacing w:before="0" w:beforeLines="0" w:after="0" w:afterLines="0" w:line="276" w:lineRule="auto"/>
    </w:pPr>
    <w:rPr>
      <w:rFonts w:ascii="宋体" w:eastAsia="宋体"/>
    </w:rPr>
  </w:style>
  <w:style w:type="paragraph" w:customStyle="1" w:styleId="221">
    <w:name w:val="标准文件_引言五级无标题"/>
    <w:basedOn w:val="205"/>
    <w:next w:val="57"/>
    <w:qFormat/>
    <w:uiPriority w:val="0"/>
    <w:pPr>
      <w:spacing w:before="0" w:beforeLines="0" w:after="0" w:afterLines="0" w:line="276" w:lineRule="auto"/>
    </w:pPr>
    <w:rPr>
      <w:rFonts w:ascii="宋体" w:eastAsia="宋体"/>
    </w:rPr>
  </w:style>
  <w:style w:type="paragraph" w:customStyle="1" w:styleId="222">
    <w:name w:val="标准文件_索引标题"/>
    <w:basedOn w:val="64"/>
    <w:next w:val="57"/>
    <w:qFormat/>
    <w:uiPriority w:val="0"/>
    <w:rPr>
      <w:rFonts w:hAnsi="黑体"/>
    </w:rPr>
  </w:style>
  <w:style w:type="paragraph" w:customStyle="1" w:styleId="223">
    <w:name w:val="标准文件_脚注内容"/>
    <w:basedOn w:val="57"/>
    <w:qFormat/>
    <w:uiPriority w:val="0"/>
    <w:pPr>
      <w:ind w:left="400" w:leftChars="200" w:hanging="200" w:hangingChars="200"/>
    </w:pPr>
    <w:rPr>
      <w:sz w:val="15"/>
    </w:rPr>
  </w:style>
  <w:style w:type="paragraph" w:customStyle="1" w:styleId="224">
    <w:name w:val="标准文件_术语条一"/>
    <w:basedOn w:val="163"/>
    <w:next w:val="57"/>
    <w:qFormat/>
    <w:uiPriority w:val="0"/>
    <w:pPr>
      <w:numPr>
        <w:ilvl w:val="2"/>
        <w:numId w:val="2"/>
      </w:numPr>
    </w:pPr>
  </w:style>
  <w:style w:type="paragraph" w:customStyle="1" w:styleId="225">
    <w:name w:val="标准文件_术语条二"/>
    <w:basedOn w:val="166"/>
    <w:next w:val="57"/>
    <w:qFormat/>
    <w:uiPriority w:val="0"/>
  </w:style>
  <w:style w:type="paragraph" w:customStyle="1" w:styleId="226">
    <w:name w:val="标准文件_术语条三"/>
    <w:basedOn w:val="165"/>
    <w:next w:val="57"/>
    <w:qFormat/>
    <w:uiPriority w:val="0"/>
  </w:style>
  <w:style w:type="paragraph" w:customStyle="1" w:styleId="227">
    <w:name w:val="标准文件_术语条四"/>
    <w:basedOn w:val="168"/>
    <w:next w:val="57"/>
    <w:qFormat/>
    <w:uiPriority w:val="0"/>
  </w:style>
  <w:style w:type="paragraph" w:customStyle="1" w:styleId="228">
    <w:name w:val="标准文件_术语条五"/>
    <w:basedOn w:val="164"/>
    <w:next w:val="57"/>
    <w:qFormat/>
    <w:uiPriority w:val="0"/>
  </w:style>
  <w:style w:type="paragraph" w:customStyle="1" w:styleId="2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0">
    <w:name w:val="发布"/>
    <w:basedOn w:val="29"/>
    <w:qFormat/>
    <w:uiPriority w:val="0"/>
    <w:rPr>
      <w:rFonts w:ascii="黑体" w:eastAsia="黑体"/>
      <w:spacing w:val="85"/>
      <w:w w:val="100"/>
      <w:position w:val="3"/>
      <w:sz w:val="28"/>
      <w:szCs w:val="28"/>
    </w:rPr>
  </w:style>
  <w:style w:type="paragraph" w:customStyle="1" w:styleId="231">
    <w:name w:val="段"/>
    <w:basedOn w:val="1"/>
    <w:qFormat/>
    <w:uiPriority w:val="0"/>
    <w:pPr>
      <w:widowControl/>
      <w:autoSpaceDE w:val="0"/>
      <w:autoSpaceDN w:val="0"/>
      <w:adjustRightInd/>
      <w:spacing w:line="240" w:lineRule="auto"/>
      <w:ind w:firstLine="420" w:firstLineChars="200"/>
    </w:pPr>
    <w:rPr>
      <w:rFonts w:ascii="Times New Roman" w:hAnsi="Times New Roman"/>
      <w:kern w:val="0"/>
    </w:rPr>
  </w:style>
  <w:style w:type="paragraph" w:customStyle="1" w:styleId="232">
    <w:name w:val="终结线"/>
    <w:basedOn w:val="1"/>
    <w:qFormat/>
    <w:uiPriority w:val="0"/>
    <w:pPr>
      <w:framePr w:hSpace="181" w:vSpace="181" w:wrap="around" w:vAnchor="text" w:hAnchor="margin" w:xAlign="center" w:y="285"/>
      <w:adjustRightInd/>
      <w:spacing w:line="240" w:lineRule="auto"/>
    </w:pPr>
    <w:rPr>
      <w:rFonts w:ascii="Times New Roman" w:hAnsi="Times New Roman"/>
      <w:szCs w:val="24"/>
    </w:rPr>
  </w:style>
  <w:style w:type="table" w:customStyle="1" w:styleId="233">
    <w:name w:val="Table Normal11"/>
    <w:basedOn w:val="27"/>
    <w:qFormat/>
    <w:uiPriority w:val="0"/>
    <w:rPr>
      <w:rFonts w:eastAsia="Times New Roman"/>
    </w:rPr>
    <w:tblPr>
      <w:tblCellMar>
        <w:left w:w="0" w:type="dxa"/>
        <w:right w:w="0" w:type="dxa"/>
      </w:tblCellMar>
    </w:tblPr>
  </w:style>
  <w:style w:type="character" w:customStyle="1" w:styleId="234">
    <w:name w:val="标准文件_二级无标题 Char"/>
    <w:link w:val="166"/>
    <w:qFormat/>
    <w:uiPriority w:val="0"/>
    <w:rPr>
      <w:rFonts w:ascii="宋体" w:eastAsia="宋体"/>
    </w:rPr>
  </w:style>
  <w:style w:type="character" w:customStyle="1" w:styleId="235">
    <w:name w:val="标准文件_二级条标题 Char"/>
    <w:link w:val="66"/>
    <w:qFormat/>
    <w:uiPriority w:val="0"/>
    <w:rPr>
      <w:rFonts w:ascii="黑体" w:hAnsi="Times New Roman" w:eastAsia="黑体" w:cs="Times New Roman"/>
      <w:sz w:val="21"/>
      <w:lang w:val="en-US" w:eastAsia="zh-CN" w:bidi="ar-SA"/>
    </w:rPr>
  </w:style>
  <w:style w:type="character" w:customStyle="1" w:styleId="236">
    <w:name w:val="标准文件_一级条标题 Char"/>
    <w:link w:val="106"/>
    <w:qFormat/>
    <w:uiPriority w:val="0"/>
  </w:style>
  <w:style w:type="character" w:customStyle="1" w:styleId="237">
    <w:name w:val="标准文件_一级无标题 Char"/>
    <w:link w:val="163"/>
    <w:qFormat/>
    <w:uiPriority w:val="0"/>
    <w:rPr>
      <w:rFonts w:ascii="宋体" w:eastAsia="宋体"/>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ruiji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5E292842A14FF6A87EF7B53F584A6D"/>
        <w:style w:val=""/>
        <w:category>
          <w:name w:val="常规"/>
          <w:gallery w:val="placeholder"/>
        </w:category>
        <w:types>
          <w:type w:val="bbPlcHdr"/>
        </w:types>
        <w:behaviors>
          <w:behavior w:val="content"/>
        </w:behaviors>
        <w:description w:val=""/>
        <w:guid w:val="{D41B180F-E840-4445-B10B-2F3C53C4C186}"/>
      </w:docPartPr>
      <w:docPartBody>
        <w:p w14:paraId="1D3CCEE7">
          <w:pPr>
            <w:pStyle w:val="5"/>
          </w:pPr>
          <w:r>
            <w:rPr>
              <w:rStyle w:val="4"/>
              <w:rFonts w:hint="eastAsia"/>
            </w:rPr>
            <w:t>单击或点击此处输入文字。</w:t>
          </w:r>
        </w:p>
      </w:docPartBody>
    </w:docPart>
    <w:docPart>
      <w:docPartPr>
        <w:name w:val="8E05FD43B55C44F4BD405A6B18587DC8"/>
        <w:style w:val=""/>
        <w:category>
          <w:name w:val="常规"/>
          <w:gallery w:val="placeholder"/>
        </w:category>
        <w:types>
          <w:type w:val="bbPlcHdr"/>
        </w:types>
        <w:behaviors>
          <w:behavior w:val="content"/>
        </w:behaviors>
        <w:description w:val=""/>
        <w:guid w:val="{13C2E1BD-FA9E-431D-A541-4ACA135BEBB3}"/>
      </w:docPartPr>
      <w:docPartBody>
        <w:p w14:paraId="77A5D691">
          <w:pPr>
            <w:pStyle w:val="6"/>
          </w:pPr>
          <w:r>
            <w:rPr>
              <w:rStyle w:val="4"/>
              <w:rFonts w:hint="eastAsia"/>
            </w:rPr>
            <w:t>选择一项。</w:t>
          </w:r>
        </w:p>
      </w:docPartBody>
    </w:docPart>
    <w:docPart>
      <w:docPartPr>
        <w:name w:val="8E745B7C1AA64C63B79B4B36F1632ACB"/>
        <w:style w:val=""/>
        <w:category>
          <w:name w:val="常规"/>
          <w:gallery w:val="placeholder"/>
        </w:category>
        <w:types>
          <w:type w:val="bbPlcHdr"/>
        </w:types>
        <w:behaviors>
          <w:behavior w:val="content"/>
        </w:behaviors>
        <w:description w:val=""/>
        <w:guid w:val="{0650F4C9-99DA-46A3-9093-F27656240D55}"/>
      </w:docPartPr>
      <w:docPartBody>
        <w:p w14:paraId="5891548C">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EF9"/>
    <w:rsid w:val="000105AC"/>
    <w:rsid w:val="000A538F"/>
    <w:rsid w:val="000C55F8"/>
    <w:rsid w:val="00164F9B"/>
    <w:rsid w:val="001A5490"/>
    <w:rsid w:val="003303CA"/>
    <w:rsid w:val="003513B7"/>
    <w:rsid w:val="00375302"/>
    <w:rsid w:val="004A5E8E"/>
    <w:rsid w:val="004E61F2"/>
    <w:rsid w:val="00531705"/>
    <w:rsid w:val="00566E76"/>
    <w:rsid w:val="00576641"/>
    <w:rsid w:val="00583656"/>
    <w:rsid w:val="0059114A"/>
    <w:rsid w:val="005E70E5"/>
    <w:rsid w:val="0062125A"/>
    <w:rsid w:val="0065186C"/>
    <w:rsid w:val="00687F86"/>
    <w:rsid w:val="006C5DA3"/>
    <w:rsid w:val="00713E76"/>
    <w:rsid w:val="0074558B"/>
    <w:rsid w:val="00745987"/>
    <w:rsid w:val="00787B74"/>
    <w:rsid w:val="008534BF"/>
    <w:rsid w:val="00867B58"/>
    <w:rsid w:val="008A6E8A"/>
    <w:rsid w:val="00925B3C"/>
    <w:rsid w:val="00943263"/>
    <w:rsid w:val="00951F4E"/>
    <w:rsid w:val="00967222"/>
    <w:rsid w:val="00A34026"/>
    <w:rsid w:val="00A6492C"/>
    <w:rsid w:val="00AC39FE"/>
    <w:rsid w:val="00AF2D96"/>
    <w:rsid w:val="00AF6A63"/>
    <w:rsid w:val="00B20096"/>
    <w:rsid w:val="00B80983"/>
    <w:rsid w:val="00B84DD7"/>
    <w:rsid w:val="00B915E0"/>
    <w:rsid w:val="00C159EF"/>
    <w:rsid w:val="00C55049"/>
    <w:rsid w:val="00C603DB"/>
    <w:rsid w:val="00D03D99"/>
    <w:rsid w:val="00D404A4"/>
    <w:rsid w:val="00D50EF9"/>
    <w:rsid w:val="00E561E2"/>
    <w:rsid w:val="00F134C5"/>
    <w:rsid w:val="00F415EE"/>
    <w:rsid w:val="00F62716"/>
    <w:rsid w:val="00F63154"/>
    <w:rsid w:val="00F65DA0"/>
    <w:rsid w:val="00FD0A98"/>
    <w:rsid w:val="00FF5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3D5E292842A14FF6A87EF7B53F584A6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E05FD43B55C44F4BD405A6B18587DC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8E745B7C1AA64C63B79B4B36F1632AC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地方标准</Template>
  <Company>PCMI</Company>
  <Pages>10</Pages>
  <Words>199</Words>
  <Characters>290</Characters>
  <Lines>56</Lines>
  <Paragraphs>15</Paragraphs>
  <TotalTime>5</TotalTime>
  <ScaleCrop>false</ScaleCrop>
  <LinksUpToDate>false</LinksUpToDate>
  <CharactersWithSpaces>336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2024-04-22T09:12:00Z</dcterms:created>
  <dc:creator>wx_cl</dc:creator>
  <dc:description>&lt;config cover="true" show_menu="true" version="1.0.0" doctype="SDKXY"&gt;_x000d_
&lt;/config&gt;</dc:description>
  <cp:lastModifiedBy>Administrator</cp:lastModifiedBy>
  <cp:lastPrinted>2026-01-07T11:44:00Z</cp:lastPrinted>
  <dcterms:modified xsi:type="dcterms:W3CDTF">2026-05-07T03:24:40Z</dcterms:modified>
  <dc:title>地方标准</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-1</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ProductBuildVer">
    <vt:lpwstr>2052-12.1.0.21171</vt:lpwstr>
  </property>
  <property fmtid="{D5CDD505-2E9C-101B-9397-08002B2CF9AE}" pid="16" name="ICV">
    <vt:lpwstr>7927A007998B469D9D2A41BCE1BA8BE4_13</vt:lpwstr>
  </property>
  <property fmtid="{D5CDD505-2E9C-101B-9397-08002B2CF9AE}" pid="17" name="KSOTemplateDocerSaveRecord">
    <vt:lpwstr>eyJoZGlkIjoiM2MyZmVhMmUzYmRjMjNlNDc0YTNkYzExYzAyODI2MmEiLCJ1c2VySWQiOiI0NzA1OTkwODUifQ==</vt:lpwstr>
  </property>
</Properties>
</file>