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eastAsia="方正小标宋简体"/>
          <w:sz w:val="44"/>
          <w:szCs w:val="44"/>
        </w:rPr>
      </w:pPr>
      <w:r>
        <w:rPr>
          <w:rFonts w:hint="eastAsia" w:eastAsia="方正小标宋简体"/>
          <w:sz w:val="44"/>
          <w:szCs w:val="44"/>
        </w:rPr>
        <w:t>经营主体信用信息交换方式及接口规范</w:t>
      </w:r>
    </w:p>
    <w:p>
      <w:pPr>
        <w:autoSpaceDE w:val="0"/>
        <w:autoSpaceDN w:val="0"/>
        <w:adjustRightInd w:val="0"/>
        <w:jc w:val="center"/>
        <w:rPr>
          <w:rFonts w:eastAsia="方正小标宋简体"/>
          <w:sz w:val="44"/>
          <w:szCs w:val="44"/>
        </w:rPr>
      </w:pPr>
      <w:r>
        <w:rPr>
          <w:rFonts w:hint="eastAsia" w:eastAsia="方正小标宋简体"/>
          <w:sz w:val="44"/>
          <w:szCs w:val="44"/>
        </w:rPr>
        <w:t>（征求意见稿）编制说明</w:t>
      </w:r>
    </w:p>
    <w:tbl>
      <w:tblPr>
        <w:tblStyle w:val="8"/>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773"/>
        <w:gridCol w:w="1346"/>
        <w:gridCol w:w="354"/>
        <w:gridCol w:w="271"/>
        <w:gridCol w:w="764"/>
        <w:gridCol w:w="99"/>
        <w:gridCol w:w="1547"/>
        <w:gridCol w:w="187"/>
        <w:gridCol w:w="532"/>
        <w:gridCol w:w="610"/>
        <w:gridCol w:w="524"/>
        <w:gridCol w:w="138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554"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1.1 标准名称</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经营主体信用信息交换方式及接口规范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98"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eastAsia="等线" w:cs="等线"/>
                <w:color w:val="000000"/>
                <w:sz w:val="21"/>
                <w:szCs w:val="21"/>
              </w:rPr>
              <w:t>Specifications of means and interface for credit information exchange of business entities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71"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700" w:type="dxa"/>
            <w:gridSpan w:val="2"/>
            <w:vMerge w:val="restart"/>
            <w:tcBorders>
              <w:top w:val="single" w:color="auto" w:sz="4" w:space="0"/>
              <w:left w:val="single" w:color="auto" w:sz="4" w:space="0"/>
              <w:bottom w:val="single" w:color="auto" w:sz="4" w:space="0"/>
              <w:right w:val="single" w:color="auto" w:sz="4" w:space="0"/>
            </w:tcBorders>
            <w:vAlign w:val="center"/>
          </w:tcPr>
          <w:p>
            <w:pPr>
              <w:jc w:val="left"/>
              <w:rPr>
                <w:rFonts w:eastAsia="等线" w:cs="等线"/>
                <w:color w:val="000000"/>
                <w:sz w:val="21"/>
                <w:szCs w:val="21"/>
              </w:rPr>
            </w:pPr>
            <w:r>
              <w:rPr>
                <w:rFonts w:hint="eastAsia" w:eastAsia="等线" w:cs="等线"/>
                <w:color w:val="000000"/>
                <w:sz w:val="21"/>
                <w:szCs w:val="21"/>
              </w:rPr>
              <w:t>□等同采用</w:t>
            </w:r>
          </w:p>
          <w:p>
            <w:pPr>
              <w:jc w:val="left"/>
              <w:rPr>
                <w:rFonts w:eastAsia="等线" w:cs="等线"/>
                <w:color w:val="000000"/>
                <w:sz w:val="21"/>
                <w:szCs w:val="21"/>
              </w:rPr>
            </w:pPr>
            <w:r>
              <w:rPr>
                <w:rFonts w:hint="eastAsia" w:eastAsia="等线" w:cs="等线"/>
                <w:color w:val="000000"/>
                <w:sz w:val="21"/>
                <w:szCs w:val="21"/>
              </w:rPr>
              <w:t>□修改采用</w:t>
            </w:r>
          </w:p>
          <w:p>
            <w:pPr>
              <w:jc w:val="left"/>
              <w:rPr>
                <w:rFonts w:eastAsia="等线" w:cs="等线"/>
                <w:color w:val="000000"/>
                <w:sz w:val="21"/>
                <w:szCs w:val="21"/>
              </w:rPr>
            </w:pPr>
            <w:r>
              <w:rPr>
                <w:rFonts w:hint="eastAsia" w:eastAsia="等线" w:cs="等线"/>
                <w:color w:val="000000"/>
                <w:sz w:val="21"/>
                <w:szCs w:val="21"/>
              </w:rPr>
              <w:t>□非等效采用</w:t>
            </w:r>
          </w:p>
          <w:p>
            <w:pPr>
              <w:jc w:val="left"/>
              <w:rPr>
                <w:rFonts w:eastAsia="等线" w:cs="等线"/>
                <w:b/>
                <w:color w:val="000000"/>
                <w:sz w:val="21"/>
                <w:szCs w:val="21"/>
              </w:rPr>
            </w:pPr>
            <w:r>
              <w:rPr>
                <w:rFonts w:hint="eastAsia" w:eastAsia="等线" w:cs="等线"/>
                <w:color w:val="000000"/>
                <w:sz w:val="21"/>
                <w:szCs w:val="21"/>
              </w:rPr>
              <w:sym w:font="Wingdings 2" w:char="F052"/>
            </w:r>
            <w:r>
              <w:rPr>
                <w:rFonts w:hint="eastAsia" w:eastAsia="等线" w:cs="等线"/>
                <w:color w:val="000000"/>
                <w:sz w:val="21"/>
                <w:szCs w:val="21"/>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71"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019"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879"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1.3 任务来源</w:t>
            </w:r>
          </w:p>
        </w:tc>
        <w:tc>
          <w:tcPr>
            <w:tcW w:w="1700"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3400" w:type="dxa"/>
            <w:gridSpan w:val="6"/>
            <w:tcBorders>
              <w:top w:val="single" w:color="auto" w:sz="4" w:space="0"/>
              <w:left w:val="single" w:color="auto" w:sz="4" w:space="0"/>
              <w:bottom w:val="single" w:color="auto" w:sz="4" w:space="0"/>
              <w:right w:val="single" w:color="auto" w:sz="4" w:space="0"/>
            </w:tcBorders>
            <w:vAlign w:val="center"/>
          </w:tcPr>
          <w:p>
            <w:pPr>
              <w:widowControl/>
              <w:shd w:val="clear" w:color="auto" w:fill="FFFFFF"/>
              <w:overflowPunct/>
              <w:topLinePunct w:val="0"/>
              <w:jc w:val="left"/>
              <w:outlineLvl w:val="0"/>
              <w:rPr>
                <w:rFonts w:eastAsia="等线" w:cs="等线"/>
                <w:color w:val="000000"/>
                <w:sz w:val="21"/>
                <w:szCs w:val="21"/>
              </w:rPr>
            </w:pPr>
            <w:r>
              <w:rPr>
                <w:rFonts w:hint="eastAsia" w:eastAsia="等线" w:cs="等线"/>
                <w:color w:val="000000"/>
                <w:sz w:val="21"/>
                <w:szCs w:val="21"/>
              </w:rPr>
              <w:t>《市场监管总局关于下达2023年度市场监管行业标准制订计划项目的通知》国市监办发〔2024〕17号</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计划编号</w:t>
            </w:r>
          </w:p>
        </w:tc>
        <w:tc>
          <w:tcPr>
            <w:tcW w:w="1383" w:type="dxa"/>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eastAsia="等线" w:cs="等线"/>
                <w:color w:val="000000"/>
                <w:sz w:val="21"/>
                <w:szCs w:val="21"/>
              </w:rPr>
              <w:t>2023MR0016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89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1.4制（修）订</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eastAsia="等线" w:cs="等线"/>
                <w:color w:val="000000"/>
                <w:sz w:val="21"/>
                <w:szCs w:val="21"/>
              </w:rPr>
              <w:sym w:font="Wingdings 2" w:char="F052"/>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56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1.5 起止时间</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024</w:t>
            </w:r>
            <w:r>
              <w:rPr>
                <w:rFonts w:hint="eastAsia" w:eastAsia="等线" w:cs="等线"/>
                <w:color w:val="000000"/>
                <w:sz w:val="21"/>
                <w:szCs w:val="21"/>
              </w:rPr>
              <w:t xml:space="preserve">年 </w:t>
            </w:r>
            <w:r>
              <w:rPr>
                <w:rFonts w:eastAsia="等线" w:cs="等线"/>
                <w:color w:val="000000"/>
                <w:sz w:val="21"/>
                <w:szCs w:val="21"/>
              </w:rPr>
              <w:t>2</w:t>
            </w:r>
            <w:r>
              <w:rPr>
                <w:rFonts w:hint="eastAsia" w:eastAsia="等线" w:cs="等线"/>
                <w:color w:val="000000"/>
                <w:sz w:val="21"/>
                <w:szCs w:val="21"/>
              </w:rPr>
              <w:t>月---</w:t>
            </w:r>
            <w:r>
              <w:rPr>
                <w:rFonts w:eastAsia="等线" w:cs="等线"/>
                <w:color w:val="000000"/>
                <w:sz w:val="21"/>
                <w:szCs w:val="21"/>
              </w:rPr>
              <w:t>202</w:t>
            </w:r>
            <w:r>
              <w:rPr>
                <w:rFonts w:hint="eastAsia" w:eastAsia="等线" w:cs="等线"/>
                <w:color w:val="000000"/>
                <w:sz w:val="21"/>
                <w:szCs w:val="21"/>
                <w:lang w:val="en-US" w:eastAsia="zh-CN"/>
              </w:rPr>
              <w:t>5</w:t>
            </w:r>
            <w:r>
              <w:rPr>
                <w:rFonts w:hint="eastAsia" w:eastAsia="等线" w:cs="等线"/>
                <w:color w:val="000000"/>
                <w:sz w:val="21"/>
                <w:szCs w:val="21"/>
              </w:rPr>
              <w:t xml:space="preserve">年 </w:t>
            </w:r>
            <w:r>
              <w:rPr>
                <w:rFonts w:eastAsia="等线" w:cs="等线"/>
                <w:color w:val="000000"/>
                <w:sz w:val="21"/>
                <w:szCs w:val="21"/>
              </w:rPr>
              <w:t>2</w:t>
            </w:r>
            <w:r>
              <w:rPr>
                <w:rFonts w:hint="eastAsia" w:eastAsia="等线" w:cs="等线"/>
                <w:color w:val="000000"/>
                <w:sz w:val="21"/>
                <w:szCs w:val="21"/>
              </w:rPr>
              <w:t>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51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1.6 标准起草单位</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wordWrap w:val="0"/>
              <w:spacing w:line="360" w:lineRule="exact"/>
              <w:rPr>
                <w:rFonts w:eastAsia="等线" w:cs="等线"/>
                <w:color w:val="000000"/>
                <w:sz w:val="21"/>
                <w:szCs w:val="21"/>
              </w:rPr>
            </w:pPr>
            <w:r>
              <w:rPr>
                <w:rFonts w:hint="eastAsia" w:eastAsia="等线" w:cs="等线"/>
                <w:color w:val="000000"/>
                <w:sz w:val="21"/>
                <w:szCs w:val="21"/>
              </w:rPr>
              <w:t>中国标准化研究院、国家市场监管总局信用监管司、中国网络安全审查认证和市场监管大数据中心、湖北省标准化与质量研究院等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75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1.7 起草团队</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both"/>
              <w:rPr>
                <w:rFonts w:eastAsia="等线" w:cs="等线"/>
                <w:color w:val="000000"/>
                <w:sz w:val="21"/>
                <w:szCs w:val="21"/>
              </w:rPr>
            </w:pPr>
            <w:r>
              <w:rPr>
                <w:rFonts w:hint="eastAsia" w:eastAsia="等线" w:cs="等线"/>
                <w:color w:val="000000"/>
                <w:sz w:val="21"/>
                <w:szCs w:val="21"/>
              </w:rPr>
              <w:t>周莉、</w:t>
            </w:r>
            <w:r>
              <w:rPr>
                <w:rFonts w:hint="eastAsia" w:eastAsia="等线" w:cs="等线"/>
                <w:color w:val="000000"/>
                <w:sz w:val="21"/>
                <w:szCs w:val="21"/>
                <w:lang w:eastAsia="zh-CN"/>
              </w:rPr>
              <w:t>张恒、闫小良、赵燕、张志清、袁瑞丰、陈炎明、</w:t>
            </w:r>
            <w:r>
              <w:rPr>
                <w:rFonts w:hint="eastAsia" w:eastAsia="等线" w:cs="等线"/>
                <w:color w:val="000000"/>
                <w:sz w:val="21"/>
                <w:szCs w:val="21"/>
              </w:rPr>
              <w:t>孟翠竹等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59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1.8 标准体系表内编号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40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1.9调整情况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750" w:hRule="atLeast"/>
        </w:trPr>
        <w:tc>
          <w:tcPr>
            <w:tcW w:w="1773" w:type="dxa"/>
            <w:tcBorders>
              <w:top w:val="single" w:color="auto" w:sz="6" w:space="0"/>
              <w:left w:val="single" w:color="auto" w:sz="4" w:space="0"/>
              <w:bottom w:val="single" w:color="auto" w:sz="6" w:space="0"/>
              <w:right w:val="single" w:color="auto" w:sz="4" w:space="0"/>
            </w:tcBorders>
            <w:vAlign w:val="center"/>
          </w:tcPr>
          <w:p>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pPr>
              <w:jc w:val="center"/>
              <w:rPr>
                <w:rFonts w:eastAsia="等线" w:cs="等线"/>
                <w:b/>
                <w:color w:val="000000"/>
                <w:sz w:val="21"/>
                <w:szCs w:val="21"/>
              </w:rPr>
            </w:pPr>
            <w:r>
              <w:rPr>
                <w:rFonts w:hint="eastAsia" w:eastAsia="等线" w:cs="等线"/>
                <w:color w:val="000000"/>
                <w:sz w:val="21"/>
                <w:szCs w:val="21"/>
              </w:rPr>
              <w:t>（工作开展背景及要求）</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《中共中央 国务院关于加快建设全国统一大市场的意见》中明确提出，要形成覆盖全部信用主体、所有信用信息类别、全国所有区域的信用信息网络，完善市场信息交互渠道，推动各领域市场公共信息互通共享，便利市场主体信息互联互通。中办国办印发的《关于推进社会信用体系建设高质量发展 促进形成新发展格局的意见》中明确提出，</w:t>
            </w:r>
            <w:r>
              <w:rPr>
                <w:rFonts w:eastAsia="等线" w:cs="等线"/>
                <w:color w:val="000000"/>
                <w:sz w:val="21"/>
                <w:szCs w:val="21"/>
              </w:rPr>
              <w:t>健全信用基础设施</w:t>
            </w:r>
            <w:r>
              <w:rPr>
                <w:rFonts w:hint="eastAsia" w:eastAsia="等线" w:cs="等线"/>
                <w:color w:val="000000"/>
                <w:sz w:val="21"/>
                <w:szCs w:val="21"/>
              </w:rPr>
              <w:t>，</w:t>
            </w:r>
            <w:r>
              <w:rPr>
                <w:rFonts w:eastAsia="等线" w:cs="等线"/>
                <w:color w:val="000000"/>
                <w:sz w:val="21"/>
                <w:szCs w:val="21"/>
              </w:rPr>
              <w:t>加快信用信息共享步伐，构建形成覆盖全部信用主体、所有信用信息类别、全国所有区域的信用信息网络，建立标准统一、权威准确的信用档案。</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当前我国部门间经营主体信用信息来源结构各异、交互融合困难、资源整合不足，急需</w:t>
            </w:r>
            <w:r>
              <w:rPr>
                <w:rFonts w:eastAsia="等线" w:cs="等线"/>
                <w:color w:val="000000"/>
                <w:sz w:val="21"/>
                <w:szCs w:val="21"/>
              </w:rPr>
              <w:t>就当前</w:t>
            </w:r>
            <w:r>
              <w:rPr>
                <w:rFonts w:hint="eastAsia" w:eastAsia="等线" w:cs="等线"/>
                <w:color w:val="000000"/>
                <w:sz w:val="21"/>
                <w:szCs w:val="21"/>
              </w:rPr>
              <w:t>经营</w:t>
            </w:r>
            <w:r>
              <w:rPr>
                <w:rFonts w:eastAsia="等线" w:cs="等线"/>
                <w:color w:val="000000"/>
                <w:sz w:val="21"/>
                <w:szCs w:val="21"/>
              </w:rPr>
              <w:t>主体跨部门、跨领域、跨行业的信用信息数据交互接口</w:t>
            </w:r>
            <w:r>
              <w:rPr>
                <w:rFonts w:hint="eastAsia" w:eastAsia="等线" w:cs="等线"/>
                <w:color w:val="000000"/>
                <w:sz w:val="21"/>
                <w:szCs w:val="21"/>
              </w:rPr>
              <w:t>、共享共用</w:t>
            </w:r>
            <w:r>
              <w:rPr>
                <w:rFonts w:eastAsia="等线" w:cs="等线"/>
                <w:color w:val="000000"/>
                <w:sz w:val="21"/>
                <w:szCs w:val="21"/>
              </w:rPr>
              <w:t>等现实问题提出标准化解决方案，重点解决</w:t>
            </w:r>
            <w:r>
              <w:rPr>
                <w:rFonts w:hint="eastAsia" w:eastAsia="等线" w:cs="等线"/>
                <w:color w:val="000000"/>
                <w:sz w:val="21"/>
                <w:szCs w:val="21"/>
              </w:rPr>
              <w:t>经营</w:t>
            </w:r>
            <w:r>
              <w:rPr>
                <w:rFonts w:eastAsia="等线" w:cs="等线"/>
                <w:color w:val="000000"/>
                <w:sz w:val="21"/>
                <w:szCs w:val="21"/>
              </w:rPr>
              <w:t>主体信用信息交互、</w:t>
            </w:r>
            <w:r>
              <w:rPr>
                <w:rFonts w:hint="eastAsia" w:eastAsia="等线" w:cs="等线"/>
                <w:color w:val="000000"/>
                <w:sz w:val="21"/>
                <w:szCs w:val="21"/>
              </w:rPr>
              <w:t>汇集、共享等现实需求</w:t>
            </w:r>
            <w:r>
              <w:rPr>
                <w:rFonts w:eastAsia="等线" w:cs="等线"/>
                <w:color w:val="000000"/>
                <w:sz w:val="21"/>
                <w:szCs w:val="21"/>
              </w:rPr>
              <w:t>，</w:t>
            </w:r>
            <w:r>
              <w:rPr>
                <w:rFonts w:hint="eastAsia" w:eastAsia="等线" w:cs="等线"/>
                <w:color w:val="000000"/>
                <w:sz w:val="21"/>
                <w:szCs w:val="21"/>
              </w:rPr>
              <w:t>促进信用信息跨部门交互融合。</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研制《经营主体信用信息交换方式及接口规范》行业标准，有利于加快推动市场监管部门间、行业间、领域间经营主体信用信息交换共享，充分利用大数据等技术手段，加快推进智慧监管，提升市场监管政务服务、网络交易监管、重点产品追溯等方面跨省通办、共享协作的信息化水平，全面提升市场监管能力。</w:t>
            </w:r>
          </w:p>
          <w:p>
            <w:pPr>
              <w:ind w:right="54" w:rightChars="17"/>
              <w:jc w:val="left"/>
              <w:rPr>
                <w:rFonts w:hint="eastAsia" w:eastAsia="等线" w:cs="等线"/>
                <w:color w:val="000000"/>
                <w:sz w:val="21"/>
                <w:szCs w:val="21"/>
              </w:rPr>
            </w:pPr>
          </w:p>
          <w:p>
            <w:pPr>
              <w:ind w:right="54" w:rightChars="17"/>
              <w:jc w:val="left"/>
              <w:rPr>
                <w:rFonts w:hint="eastAsia"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98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617" w:type="dxa"/>
            <w:gridSpan w:val="11"/>
            <w:tcBorders>
              <w:top w:val="single" w:color="auto" w:sz="6" w:space="0"/>
              <w:left w:val="single" w:color="auto" w:sz="4" w:space="0"/>
              <w:bottom w:val="single" w:color="auto" w:sz="6" w:space="0"/>
              <w:right w:val="single" w:color="auto" w:sz="4" w:space="0"/>
            </w:tcBorders>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从国外信用体系建设情况来看，</w:t>
            </w:r>
            <w:r>
              <w:rPr>
                <w:rFonts w:eastAsia="等线" w:cs="等线"/>
                <w:color w:val="000000"/>
                <w:sz w:val="21"/>
                <w:szCs w:val="21"/>
              </w:rPr>
              <w:t>信用体系比较成熟完善的国家对于信用信息交换及接口方式都有着严格而明确的规定。以美国为例，美国信用局协会制定了Metro 1 及 Metro 2 ，对于信用信息的交换及接口方式给出了明确的规定，任何行业和单位必须按照统一的标准进行数据交换和共享。</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从国内信用体系建设情况来看，</w:t>
            </w:r>
            <w:r>
              <w:rPr>
                <w:rFonts w:eastAsia="等线" w:cs="等线"/>
                <w:color w:val="000000"/>
                <w:sz w:val="21"/>
                <w:szCs w:val="21"/>
              </w:rPr>
              <w:t>我国目前对于信用信息交换方式及接口规范</w:t>
            </w:r>
            <w:r>
              <w:rPr>
                <w:rFonts w:hint="eastAsia" w:eastAsia="等线" w:cs="等线"/>
                <w:color w:val="000000"/>
                <w:sz w:val="21"/>
                <w:szCs w:val="21"/>
              </w:rPr>
              <w:t>一直在地方和行业内开展相关探索工作</w:t>
            </w:r>
            <w:r>
              <w:rPr>
                <w:rFonts w:eastAsia="等线" w:cs="等线"/>
                <w:color w:val="000000"/>
                <w:sz w:val="21"/>
                <w:szCs w:val="21"/>
              </w:rPr>
              <w:t>。中国人民银行为规范个人、企业信用信息基础数据库与各商业银行及其他机构的数据接口标准，参考Metro 2格式标准，并结合商业银行实际业务，曾制定出《个人信用信息基础数据库系统数据接口规范》、《企业信用信息基础数据库系统数据接口规范》。</w:t>
            </w:r>
            <w:r>
              <w:rPr>
                <w:rFonts w:hint="eastAsia" w:eastAsia="等线" w:cs="等线"/>
                <w:color w:val="000000"/>
                <w:sz w:val="21"/>
                <w:szCs w:val="21"/>
              </w:rPr>
              <w:t>国家公共信用信息中心牵头制定了《公共信用信息交换方式及接口规范》，</w:t>
            </w:r>
            <w:r>
              <w:rPr>
                <w:rFonts w:eastAsia="等线" w:cs="等线"/>
                <w:color w:val="000000"/>
                <w:sz w:val="21"/>
                <w:szCs w:val="21"/>
              </w:rPr>
              <w:t>各部门、各地区、各领域也都推出过各自的信用信息交换方式与接口规范，</w:t>
            </w:r>
            <w:r>
              <w:rPr>
                <w:rFonts w:hint="eastAsia" w:eastAsia="等线" w:cs="等线"/>
                <w:color w:val="000000"/>
                <w:sz w:val="21"/>
                <w:szCs w:val="21"/>
              </w:rPr>
              <w:t>如地方上制定的《投资项目信息交换方式及接口规范》《商务诚信信息交换方式及接口规范》等。目前在市场监管领域尚缺乏统一的信用信息交换方式和接口规范，制定行业标准有利于推动行业内经营主体信用信息的交互共享</w:t>
            </w:r>
            <w:r>
              <w:rPr>
                <w:rFonts w:eastAsia="等线" w:cs="等线"/>
                <w:color w:val="000000"/>
                <w:sz w:val="21"/>
                <w:szCs w:val="21"/>
              </w:rPr>
              <w:t>。</w:t>
            </w:r>
          </w:p>
          <w:p>
            <w:pPr>
              <w:jc w:val="left"/>
              <w:rPr>
                <w:rFonts w:eastAsia="等线" w:cs="等线"/>
                <w:color w:val="000000"/>
                <w:sz w:val="21"/>
                <w:szCs w:val="21"/>
              </w:rPr>
            </w:pPr>
          </w:p>
          <w:p>
            <w:pPr>
              <w:pStyle w:val="10"/>
              <w:ind w:left="214" w:leftChars="67" w:right="54" w:rightChars="17" w:firstLine="420"/>
              <w:jc w:val="left"/>
              <w:rPr>
                <w:rFonts w:ascii="Times New Roman" w:hAnsi="Times New Roman" w:eastAsia="等线" w:cs="等线"/>
                <w:color w:val="000000"/>
                <w:kern w:val="2"/>
                <w:szCs w:val="21"/>
              </w:rPr>
            </w:pPr>
          </w:p>
          <w:p>
            <w:pPr>
              <w:pStyle w:val="10"/>
              <w:ind w:left="214" w:leftChars="67" w:right="54" w:rightChars="17" w:firstLine="420"/>
              <w:jc w:val="left"/>
              <w:rPr>
                <w:rFonts w:ascii="Times New Roman" w:hAnsi="Times New Roman" w:eastAsia="等线" w:cs="等线"/>
                <w:color w:val="000000"/>
                <w:kern w:val="2"/>
                <w:szCs w:val="21"/>
              </w:rPr>
            </w:pPr>
          </w:p>
          <w:p>
            <w:pPr>
              <w:pStyle w:val="10"/>
              <w:ind w:left="214" w:leftChars="67" w:right="54" w:rightChars="17" w:firstLine="420"/>
              <w:jc w:val="left"/>
              <w:rPr>
                <w:rFonts w:ascii="Times New Roman" w:hAnsi="Times New Roman" w:eastAsia="等线" w:cs="等线"/>
                <w:color w:val="000000"/>
                <w:kern w:val="2"/>
                <w:szCs w:val="21"/>
              </w:rPr>
            </w:pPr>
          </w:p>
          <w:p>
            <w:pPr>
              <w:pStyle w:val="10"/>
              <w:ind w:right="54" w:rightChars="17" w:firstLine="0" w:firstLineChars="0"/>
              <w:jc w:val="left"/>
              <w:rPr>
                <w:rFonts w:ascii="Times New Roman" w:hAnsi="Times New Roman" w:eastAsia="等线" w:cs="等线"/>
                <w:color w:val="000000"/>
                <w:kern w:val="2"/>
                <w:szCs w:val="21"/>
              </w:rPr>
            </w:pPr>
          </w:p>
          <w:p>
            <w:pPr>
              <w:pStyle w:val="10"/>
              <w:ind w:right="54" w:rightChars="17" w:firstLine="0" w:firstLineChars="0"/>
              <w:jc w:val="left"/>
              <w:rPr>
                <w:rFonts w:hint="eastAsia" w:ascii="Times New Roman" w:hAnsi="Times New Roman" w:eastAsia="等线" w:cs="等线"/>
                <w:color w:val="000000"/>
                <w:kern w:val="2"/>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3、编制过程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89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3.1 分工情况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1</w:t>
            </w:r>
            <w:r>
              <w:rPr>
                <w:rFonts w:hint="eastAsia" w:eastAsia="等线" w:cs="等线"/>
                <w:color w:val="000000"/>
                <w:sz w:val="21"/>
                <w:szCs w:val="21"/>
                <w:lang w:eastAsia="zh-CN"/>
              </w:rPr>
              <w:t>）</w:t>
            </w:r>
            <w:r>
              <w:rPr>
                <w:rFonts w:hint="eastAsia" w:eastAsia="等线" w:cs="等线"/>
                <w:color w:val="000000"/>
                <w:sz w:val="21"/>
                <w:szCs w:val="21"/>
              </w:rPr>
              <w:t>中国标准化研究院</w:t>
            </w:r>
            <w:r>
              <w:rPr>
                <w:rFonts w:hint="eastAsia" w:eastAsia="等线" w:cs="等线"/>
                <w:color w:val="000000"/>
                <w:sz w:val="21"/>
                <w:szCs w:val="21"/>
                <w:lang w:eastAsia="zh-CN"/>
              </w:rPr>
              <w:t>负责标准总体框架和关键技术内容的起草、调研和专家研讨等工作；</w:t>
            </w:r>
          </w:p>
          <w:p>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2</w:t>
            </w:r>
            <w:r>
              <w:rPr>
                <w:rFonts w:hint="eastAsia" w:eastAsia="等线" w:cs="等线"/>
                <w:color w:val="000000"/>
                <w:sz w:val="21"/>
                <w:szCs w:val="21"/>
                <w:lang w:eastAsia="zh-CN"/>
              </w:rPr>
              <w:t>）</w:t>
            </w:r>
            <w:r>
              <w:rPr>
                <w:rFonts w:hint="eastAsia" w:eastAsia="等线" w:cs="等线"/>
                <w:color w:val="000000"/>
                <w:sz w:val="21"/>
                <w:szCs w:val="21"/>
              </w:rPr>
              <w:t>国家市场监管总局信用监管司</w:t>
            </w:r>
            <w:r>
              <w:rPr>
                <w:rFonts w:hint="eastAsia" w:eastAsia="等线" w:cs="等线"/>
                <w:color w:val="000000"/>
                <w:sz w:val="21"/>
                <w:szCs w:val="21"/>
                <w:lang w:eastAsia="zh-CN"/>
              </w:rPr>
              <w:t>负责对标准技术内容进行指导，提出意见建议；</w:t>
            </w:r>
          </w:p>
          <w:p>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3</w:t>
            </w:r>
            <w:r>
              <w:rPr>
                <w:rFonts w:hint="eastAsia" w:eastAsia="等线" w:cs="等线"/>
                <w:color w:val="000000"/>
                <w:sz w:val="21"/>
                <w:szCs w:val="21"/>
                <w:lang w:eastAsia="zh-CN"/>
              </w:rPr>
              <w:t>）</w:t>
            </w:r>
            <w:r>
              <w:rPr>
                <w:rFonts w:hint="eastAsia" w:eastAsia="等线" w:cs="等线"/>
                <w:color w:val="000000"/>
                <w:sz w:val="21"/>
                <w:szCs w:val="21"/>
              </w:rPr>
              <w:t>中国网络安全审查认证和市场监管大数据中心</w:t>
            </w:r>
            <w:r>
              <w:rPr>
                <w:rFonts w:hint="eastAsia" w:eastAsia="等线" w:cs="等线"/>
                <w:color w:val="000000"/>
                <w:sz w:val="21"/>
                <w:szCs w:val="21"/>
                <w:lang w:eastAsia="zh-CN"/>
              </w:rPr>
              <w:t>负责对标准技术内容提供实践基础，参与调研各地方接口方式和要求；</w:t>
            </w:r>
          </w:p>
          <w:p>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4</w:t>
            </w:r>
            <w:r>
              <w:rPr>
                <w:rFonts w:hint="eastAsia" w:eastAsia="等线" w:cs="等线"/>
                <w:color w:val="000000"/>
                <w:sz w:val="21"/>
                <w:szCs w:val="21"/>
                <w:lang w:eastAsia="zh-CN"/>
              </w:rPr>
              <w:t>）</w:t>
            </w:r>
            <w:r>
              <w:rPr>
                <w:rFonts w:hint="eastAsia" w:eastAsia="等线" w:cs="等线"/>
                <w:color w:val="000000"/>
                <w:sz w:val="21"/>
                <w:szCs w:val="21"/>
              </w:rPr>
              <w:t>湖北省标准化与质量研究院等</w:t>
            </w:r>
            <w:r>
              <w:rPr>
                <w:rFonts w:hint="eastAsia" w:eastAsia="等线" w:cs="等线"/>
                <w:color w:val="000000"/>
                <w:sz w:val="21"/>
                <w:szCs w:val="21"/>
                <w:lang w:eastAsia="zh-CN"/>
              </w:rPr>
              <w:t>单位负责参与标准部分章节内容的起草、调研和相关内容的修改完善工作。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604"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3.2 起草阶段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ind w:firstLine="420" w:firstLineChars="200"/>
              <w:jc w:val="left"/>
              <w:rPr>
                <w:rFonts w:eastAsia="等线" w:cs="等线"/>
                <w:color w:val="000000"/>
                <w:sz w:val="21"/>
                <w:szCs w:val="21"/>
              </w:rPr>
            </w:pPr>
            <w:r>
              <w:rPr>
                <w:rFonts w:eastAsia="等线" w:cs="等线"/>
                <w:color w:val="000000"/>
                <w:sz w:val="21"/>
                <w:szCs w:val="21"/>
              </w:rPr>
              <w:t>起草过程中具体工作内容包括：调研论证、大纲起草、政策法规信息收集、标准起草等工作。</w:t>
            </w:r>
          </w:p>
          <w:p>
            <w:pPr>
              <w:ind w:firstLine="420" w:firstLineChars="200"/>
              <w:jc w:val="left"/>
              <w:rPr>
                <w:rFonts w:eastAsia="等线" w:cs="等线"/>
                <w:color w:val="000000"/>
                <w:sz w:val="21"/>
                <w:szCs w:val="21"/>
              </w:rPr>
            </w:pPr>
            <w:r>
              <w:rPr>
                <w:rFonts w:eastAsia="等线" w:cs="等线"/>
                <w:color w:val="000000"/>
                <w:sz w:val="21"/>
                <w:szCs w:val="21"/>
              </w:rPr>
              <w:t>2024年1月-2024年2月，进一步完善标准内容，完成</w:t>
            </w:r>
            <w:r>
              <w:rPr>
                <w:rFonts w:hint="eastAsia" w:eastAsia="等线" w:cs="等线"/>
                <w:color w:val="000000"/>
                <w:sz w:val="21"/>
                <w:szCs w:val="21"/>
                <w:lang w:eastAsia="zh-CN"/>
              </w:rPr>
              <w:t>行业</w:t>
            </w:r>
            <w:r>
              <w:rPr>
                <w:rFonts w:eastAsia="等线" w:cs="等线"/>
                <w:color w:val="000000"/>
                <w:sz w:val="21"/>
                <w:szCs w:val="21"/>
              </w:rPr>
              <w:t>标准立项，召开</w:t>
            </w:r>
            <w:r>
              <w:rPr>
                <w:rFonts w:hint="eastAsia" w:eastAsia="等线" w:cs="等线"/>
                <w:color w:val="000000"/>
                <w:sz w:val="21"/>
                <w:szCs w:val="21"/>
                <w:lang w:eastAsia="zh-CN"/>
              </w:rPr>
              <w:t>标准</w:t>
            </w:r>
            <w:r>
              <w:rPr>
                <w:rFonts w:eastAsia="等线" w:cs="等线"/>
                <w:color w:val="000000"/>
                <w:sz w:val="21"/>
                <w:szCs w:val="21"/>
              </w:rPr>
              <w:t>任务启动工作会，成立起草工作组（以下简称“起草组”），明确工作原则、目标、内容和相关要求。</w:t>
            </w:r>
          </w:p>
          <w:p>
            <w:pPr>
              <w:ind w:firstLine="420" w:firstLineChars="200"/>
              <w:jc w:val="left"/>
              <w:rPr>
                <w:rFonts w:eastAsia="等线" w:cs="等线"/>
                <w:color w:val="000000"/>
                <w:sz w:val="21"/>
                <w:szCs w:val="21"/>
              </w:rPr>
            </w:pPr>
            <w:r>
              <w:rPr>
                <w:rFonts w:eastAsia="等线" w:cs="等线"/>
                <w:color w:val="000000"/>
                <w:sz w:val="21"/>
                <w:szCs w:val="21"/>
              </w:rPr>
              <w:t>2024年2月-2024年5月，起草组充分运用理论分析、实地调研和数据分析等方法，并且充分借鉴分析国内外信息资源交换方式及接口，分析国内政务信息资源交换体系的相关法律法规以及标准制修订情况，总结相关的工作经验。多次召开不同规模的标准研讨会，逐渐确定了本标准的主要内容，完成标准草案。</w:t>
            </w:r>
          </w:p>
          <w:p>
            <w:pPr>
              <w:ind w:firstLine="420" w:firstLineChars="200"/>
              <w:jc w:val="left"/>
              <w:rPr>
                <w:rFonts w:eastAsia="等线" w:cs="等线"/>
                <w:color w:val="000000"/>
                <w:sz w:val="21"/>
                <w:szCs w:val="21"/>
              </w:rPr>
            </w:pPr>
            <w:r>
              <w:rPr>
                <w:rFonts w:eastAsia="等线" w:cs="等线"/>
                <w:color w:val="000000"/>
                <w:sz w:val="21"/>
                <w:szCs w:val="21"/>
              </w:rPr>
              <w:t>2024年6月-2024年8月，起草组在完成标准草案的基础上，在全国社会信用标准化技术委员会层面全面征求来自各方的专家、学者和业务主管部门的意见，并在收集整理意见的基础上工作，召开相关研讨会，对标准内容进行修改完善，于2024年9月形成了标准征求意见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57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3.3 征求意见阶段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ind w:firstLine="420" w:firstLineChars="200"/>
              <w:jc w:val="left"/>
              <w:rPr>
                <w:rFonts w:hint="eastAsia" w:eastAsia="等线" w:cs="等线"/>
                <w:color w:val="000000"/>
                <w:sz w:val="21"/>
                <w:szCs w:val="21"/>
                <w:lang w:val="en-US" w:eastAsia="zh-CN"/>
              </w:rPr>
            </w:pPr>
            <w:r>
              <w:rPr>
                <w:rFonts w:hint="eastAsia" w:eastAsia="等线" w:cs="等线"/>
                <w:color w:val="000000"/>
                <w:sz w:val="21"/>
                <w:szCs w:val="21"/>
                <w:lang w:val="en-US" w:eastAsia="zh-CN"/>
              </w:rPr>
              <w:t>2024年9月26日向社会公开征求意见。</w:t>
            </w:r>
            <w:bookmarkStart w:id="0" w:name="_GoBack"/>
            <w:bookmarkEnd w:id="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343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3.4标准审查阶段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rPr>
                <w:rFonts w:hint="eastAsia"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226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b/>
                <w:color w:val="000000"/>
                <w:sz w:val="21"/>
                <w:szCs w:val="21"/>
              </w:rPr>
            </w:pPr>
            <w:r>
              <w:rPr>
                <w:rFonts w:hint="eastAsia" w:eastAsia="等线" w:cs="等线"/>
                <w:b/>
                <w:color w:val="000000"/>
                <w:sz w:val="21"/>
                <w:szCs w:val="21"/>
              </w:rPr>
              <w:t>4、主要技术内容的确定</w:t>
            </w:r>
          </w:p>
          <w:p>
            <w:pPr>
              <w:ind w:firstLine="420" w:firstLineChars="200"/>
              <w:jc w:val="left"/>
              <w:rPr>
                <w:rFonts w:eastAsia="等线" w:cs="等线"/>
                <w:color w:val="000000"/>
                <w:sz w:val="21"/>
                <w:szCs w:val="21"/>
              </w:rPr>
            </w:pPr>
            <w:r>
              <w:rPr>
                <w:rFonts w:hint="eastAsia" w:eastAsia="等线" w:cs="等线"/>
                <w:color w:val="000000"/>
                <w:sz w:val="21"/>
                <w:szCs w:val="21"/>
              </w:rPr>
              <w:t>本文件主要内容包括经营主体信用信息交换总体框架、交换方式及接口等技术及管理要求。</w:t>
            </w:r>
          </w:p>
          <w:p>
            <w:pPr>
              <w:pStyle w:val="10"/>
              <w:ind w:firstLine="420"/>
            </w:pPr>
            <w:r>
              <w:rPr>
                <w:rFonts w:hint="eastAsia"/>
              </w:rPr>
              <w:t>依据</w:t>
            </w:r>
            <w:r>
              <w:t>GB/T 21062.1-2007</w:t>
            </w:r>
            <w:r>
              <w:rPr>
                <w:rFonts w:hint="eastAsia"/>
              </w:rPr>
              <w:t>，在国家电子政务外网公共数据交换平台框架下，本文件对经营主体信用信息交换总体框架中的各要素做出约定。经营主体信用信息交换模型由交换信息、交换关系、交换服务、共享信息库组成。</w:t>
            </w:r>
            <w:r>
              <w:t>可通过共享信息库进行信息交换，也可通过中心交换结点进行信息交换。</w:t>
            </w:r>
          </w:p>
          <w:p>
            <w:pPr>
              <w:pStyle w:val="10"/>
              <w:ind w:firstLine="420"/>
            </w:pPr>
            <w:r>
              <w:rPr>
                <w:rFonts w:hint="eastAsia"/>
              </w:rPr>
              <w:t>信息交换应采用文件交换方式、数据库对接方式、服务调用方式三种交换方式。</w:t>
            </w:r>
          </w:p>
          <w:p>
            <w:pPr>
              <w:pStyle w:val="10"/>
              <w:ind w:firstLine="420"/>
            </w:pPr>
            <w:r>
              <w:rPr>
                <w:rFonts w:hint="eastAsia"/>
              </w:rPr>
              <w:t>a）文件交换方式是通过可靠文件传送服务，进行数据文件的传送。大量数据记录要求使用XML文件、EXCEL文件、TXT文件进行传送，并要求数据提供结点给出文件格式及数据资源描述。</w:t>
            </w:r>
          </w:p>
          <w:p>
            <w:pPr>
              <w:pStyle w:val="10"/>
              <w:ind w:firstLine="420"/>
              <w:rPr>
                <w:szCs w:val="21"/>
              </w:rPr>
            </w:pPr>
            <w:r>
              <w:rPr>
                <w:rFonts w:hint="eastAsia"/>
              </w:rPr>
              <w:t>b）</w:t>
            </w:r>
            <w:r>
              <w:rPr>
                <w:rFonts w:hint="eastAsia"/>
                <w:szCs w:val="21"/>
              </w:rPr>
              <w:t>数据库对接方式</w:t>
            </w:r>
            <w:r>
              <w:rPr>
                <w:rFonts w:hint="eastAsia" w:hAnsi="宋体"/>
                <w:szCs w:val="21"/>
              </w:rPr>
              <w:t>是库到库</w:t>
            </w:r>
            <w:r>
              <w:rPr>
                <w:rFonts w:hAnsi="宋体"/>
                <w:szCs w:val="21"/>
              </w:rPr>
              <w:t>的数据交换</w:t>
            </w:r>
            <w:r>
              <w:rPr>
                <w:rFonts w:hint="eastAsia" w:hAnsi="宋体"/>
                <w:szCs w:val="21"/>
              </w:rPr>
              <w:t>。</w:t>
            </w:r>
            <w:r>
              <w:rPr>
                <w:rFonts w:hint="eastAsia"/>
                <w:szCs w:val="21"/>
              </w:rPr>
              <w:t>要求各端交换结点向中心交换结点提供建表脚本（供中心交换结点建立同等结构表），并将交换信息导入各自交换前置机数据库中，利用</w:t>
            </w:r>
            <w:r>
              <w:rPr>
                <w:szCs w:val="21"/>
              </w:rPr>
              <w:t>传送服务实现库到库的交换</w:t>
            </w:r>
            <w:r>
              <w:rPr>
                <w:rFonts w:hint="eastAsia"/>
                <w:szCs w:val="21"/>
              </w:rPr>
              <w:t>，同时还要求各端交换结点提供数据库服务IP、数据库实例名、用户名、密码、建库脚本。</w:t>
            </w:r>
          </w:p>
          <w:p>
            <w:pPr>
              <w:pStyle w:val="10"/>
              <w:ind w:firstLine="420"/>
              <w:rPr>
                <w:szCs w:val="21"/>
              </w:rPr>
            </w:pPr>
            <w:r>
              <w:rPr>
                <w:rFonts w:hint="eastAsia"/>
              </w:rPr>
              <w:t>c）</w:t>
            </w:r>
            <w:r>
              <w:rPr>
                <w:rFonts w:hint="eastAsia"/>
                <w:szCs w:val="21"/>
              </w:rPr>
              <w:t>实时少量数据访问或传送要求使用通过WebService服务接口访问或传送信用信息目录、数据记录的服务调用方式。</w:t>
            </w:r>
          </w:p>
          <w:p>
            <w:pPr>
              <w:pStyle w:val="10"/>
              <w:ind w:firstLine="420"/>
              <w:rPr>
                <w:rFonts w:hint="eastAsia"/>
              </w:rPr>
            </w:pPr>
            <w:r>
              <w:rPr>
                <w:rFonts w:hint="eastAsia"/>
              </w:rPr>
              <w:t>数据库对接接口应遵循以下内容：</w:t>
            </w:r>
          </w:p>
          <w:p>
            <w:pPr>
              <w:pStyle w:val="10"/>
              <w:ind w:firstLine="420"/>
              <w:rPr>
                <w:rFonts w:hint="eastAsia"/>
              </w:rPr>
            </w:pPr>
            <w:r>
              <w:rPr>
                <w:rFonts w:hint="eastAsia"/>
              </w:rPr>
              <w:t>a</w:t>
            </w:r>
            <w:r>
              <w:t>）</w:t>
            </w:r>
            <w:r>
              <w:rPr>
                <w:rFonts w:hint="eastAsia"/>
              </w:rPr>
              <w:t>建前置机数据库：端交换结点在本地前置机上建立相应的源端前置机数据库表；</w:t>
            </w:r>
            <w:r>
              <w:t>中心交换结点在本地前置机上建立对应的目标端前置机数据库表</w:t>
            </w:r>
            <w:r>
              <w:rPr>
                <w:rFonts w:hint="eastAsia"/>
              </w:rPr>
              <w:t>。</w:t>
            </w:r>
          </w:p>
          <w:p>
            <w:pPr>
              <w:pStyle w:val="10"/>
              <w:ind w:firstLine="420"/>
              <w:rPr>
                <w:rFonts w:hint="eastAsia"/>
              </w:rPr>
            </w:pPr>
            <w:r>
              <w:rPr>
                <w:rFonts w:hint="eastAsia"/>
              </w:rPr>
              <w:t>b）</w:t>
            </w:r>
            <w:r>
              <w:t>表资源发布</w:t>
            </w:r>
            <w:r>
              <w:rPr>
                <w:rFonts w:hint="eastAsia"/>
                <w:lang w:eastAsia="zh-CN"/>
              </w:rPr>
              <w:t>：</w:t>
            </w:r>
            <w:r>
              <w:t>端交换结点将需要交换的数据库表注册为表资源</w:t>
            </w:r>
            <w:r>
              <w:rPr>
                <w:rFonts w:hint="eastAsia"/>
              </w:rPr>
              <w:t>，</w:t>
            </w:r>
            <w:r>
              <w:t>并将此表资源进行发布</w:t>
            </w:r>
            <w:r>
              <w:rPr>
                <w:rFonts w:hint="eastAsia"/>
              </w:rPr>
              <w:t>；</w:t>
            </w:r>
            <w:r>
              <w:t>中心交换结点对数据端交换结点表资源进行资源订阅</w:t>
            </w:r>
            <w:r>
              <w:rPr>
                <w:rFonts w:hint="eastAsia"/>
              </w:rPr>
              <w:t>。</w:t>
            </w:r>
          </w:p>
          <w:p>
            <w:pPr>
              <w:pStyle w:val="10"/>
              <w:ind w:firstLine="420"/>
            </w:pPr>
            <w:r>
              <w:rPr>
                <w:rFonts w:hint="eastAsia"/>
              </w:rPr>
              <w:t xml:space="preserve">c）数据监控：通过监控前置数据库表中数据的变化,包括但不限于时间戳、标识位、触发器方式，触发信息交换。 </w:t>
            </w:r>
          </w:p>
          <w:p>
            <w:pPr>
              <w:pStyle w:val="10"/>
              <w:ind w:firstLine="420"/>
              <w:rPr>
                <w:rFonts w:hint="eastAsia" w:hAnsi="宋体"/>
                <w:szCs w:val="21"/>
              </w:rPr>
            </w:pPr>
            <w:r>
              <w:rPr>
                <w:rFonts w:hint="eastAsia" w:hAnsi="宋体"/>
                <w:szCs w:val="21"/>
              </w:rPr>
              <w:t>d）交换策略：数据报送交换</w:t>
            </w:r>
            <w:r>
              <w:rPr>
                <w:rFonts w:hint="eastAsia"/>
              </w:rPr>
              <w:t>结点将需要交换的信息推送到</w:t>
            </w:r>
            <w:r>
              <w:rPr>
                <w:rFonts w:hint="eastAsia" w:hAnsi="宋体"/>
                <w:szCs w:val="21"/>
              </w:rPr>
              <w:t>数据报送</w:t>
            </w:r>
            <w:r>
              <w:rPr>
                <w:rFonts w:hint="eastAsia"/>
              </w:rPr>
              <w:t>交换结点的前置机数据库表中，通过数据监控，数据接收交换结点前置机数据库从数据传输交换结点的前置机数据库表中抽取数据到数据接收前置对应库中。</w:t>
            </w:r>
          </w:p>
          <w:p>
            <w:pPr>
              <w:pStyle w:val="10"/>
              <w:ind w:firstLine="420"/>
              <w:rPr>
                <w:rFonts w:hint="eastAsia"/>
              </w:rPr>
            </w:pPr>
            <w:r>
              <w:rPr>
                <w:rFonts w:hint="eastAsia" w:hAnsi="宋体"/>
                <w:szCs w:val="21"/>
              </w:rPr>
              <w:t>e）确认机制：当</w:t>
            </w:r>
            <w:r>
              <w:rPr>
                <w:rFonts w:hint="eastAsia"/>
              </w:rPr>
              <w:t>数据接收</w:t>
            </w:r>
            <w:r>
              <w:rPr>
                <w:rFonts w:hint="eastAsia" w:hAnsi="宋体"/>
                <w:szCs w:val="21"/>
              </w:rPr>
              <w:t>交换结点完成了</w:t>
            </w:r>
            <w:r>
              <w:rPr>
                <w:rFonts w:hint="eastAsia"/>
              </w:rPr>
              <w:t>对数据传输交换结点推送数据的获取后，以数据库表的方式就数据的内容（交换文件名称、接收时间、交换文件大小、交换文件数量、交换文件格式、数据库表名称、入库时间、入库记录数量、交换数据来源、时间戳）向数据报送交换结点进行对账确认，如双方确认无误则数据库对接传输数据成功，如双方对账存在出入则数据库对接传输数据失败，需要重新进行数据库对接传输。服务交换接口包括报文规范和报文约定：</w:t>
            </w:r>
          </w:p>
          <w:p>
            <w:pPr>
              <w:pStyle w:val="10"/>
              <w:ind w:firstLine="420"/>
            </w:pPr>
            <w:r>
              <w:rPr>
                <w:rFonts w:hint="eastAsia"/>
              </w:rPr>
              <w:t>a）报文规范：报文以XML标签形式封装，为报文头和报文体两部分；从交互方式，报文分为请求报文</w:t>
            </w:r>
            <w:r>
              <w:t>和</w:t>
            </w:r>
            <w:r>
              <w:rPr>
                <w:rFonts w:hint="eastAsia"/>
              </w:rPr>
              <w:t>响应报文两类</w:t>
            </w:r>
            <w:r>
              <w:t>，即输入和输出</w:t>
            </w:r>
            <w:r>
              <w:rPr>
                <w:rFonts w:hint="eastAsia"/>
              </w:rPr>
              <w:t>，数据对象及字段英文名即为XML报文中的标签名。</w:t>
            </w:r>
          </w:p>
          <w:p>
            <w:pPr>
              <w:pStyle w:val="10"/>
              <w:ind w:firstLine="420"/>
            </w:pPr>
            <w:r>
              <w:rPr>
                <w:rFonts w:hint="eastAsia"/>
              </w:rPr>
              <w:t>b）报文约定</w:t>
            </w:r>
            <w:r>
              <w:rPr>
                <w:rFonts w:hint="eastAsia"/>
                <w:lang w:eastAsia="zh-CN"/>
              </w:rPr>
              <w:t>：</w:t>
            </w:r>
            <w:r>
              <w:rPr>
                <w:rFonts w:hint="eastAsia"/>
              </w:rPr>
              <w:t>各字段若无特别说明均为字符型；日期字段默认格式为“yyyymmdd”，例如2013-04-15，报文内容为20130415；时间字段默认格式为“hhmmss”，例如16:25:16，报文内容为162516；返回包报文头流水号，与请求包报文头流水号保持一致；报文头信息具有默认结构，同时支持自定义报文头。在具体</w:t>
            </w:r>
            <w:r>
              <w:t>实现时</w:t>
            </w:r>
            <w:r>
              <w:rPr>
                <w:rFonts w:hint="eastAsia"/>
              </w:rPr>
              <w:t>，WebService传递</w:t>
            </w:r>
            <w:r>
              <w:t>的数据可参照</w:t>
            </w:r>
            <w:r>
              <w:rPr>
                <w:rFonts w:hint="eastAsia"/>
              </w:rPr>
              <w:t>XML数据交换格式</w:t>
            </w:r>
            <w:r>
              <w:t>。</w:t>
            </w:r>
            <w:r>
              <w:rPr>
                <w:rFonts w:hint="eastAsia"/>
              </w:rPr>
              <w:t xml:space="preserve">  </w:t>
            </w: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eastAsia="等线" w:cs="等线"/>
                <w:b/>
                <w:color w:val="000000"/>
                <w:sz w:val="21"/>
                <w:szCs w:val="21"/>
              </w:rPr>
            </w:pPr>
          </w:p>
          <w:p>
            <w:pPr>
              <w:jc w:val="center"/>
              <w:rPr>
                <w:rFonts w:hint="eastAsia"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5、验证情况（适用时填写）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06" w:hRule="atLeast"/>
        </w:trPr>
        <w:tc>
          <w:tcPr>
            <w:tcW w:w="1773" w:type="dxa"/>
            <w:vMerge w:val="restart"/>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5.1 验证单位情况</w:t>
            </w: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验证单位</w:t>
            </w:r>
          </w:p>
        </w:tc>
        <w:tc>
          <w:tcPr>
            <w:tcW w:w="2597"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验证人员</w:t>
            </w:r>
          </w:p>
        </w:tc>
        <w:tc>
          <w:tcPr>
            <w:tcW w:w="3049"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04"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0"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52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5.2 验证过程</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10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5.3 验证数据分析</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hint="eastAsia"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16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5.4 验证评价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hint="eastAsia"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234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5.5 其他应说明的情况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jc w:val="center"/>
              <w:rPr>
                <w:rFonts w:eastAsia="等线" w:cs="等线"/>
                <w:color w:val="000000"/>
                <w:sz w:val="21"/>
                <w:szCs w:val="21"/>
              </w:rPr>
            </w:pPr>
          </w:p>
          <w:p>
            <w:pPr>
              <w:rPr>
                <w:rFonts w:eastAsia="等线" w:cs="等线"/>
                <w:color w:val="000000"/>
                <w:sz w:val="21"/>
                <w:szCs w:val="21"/>
              </w:rPr>
            </w:pPr>
          </w:p>
          <w:p>
            <w:pPr>
              <w:rPr>
                <w:rFonts w:eastAsia="等线" w:cs="等线"/>
                <w:color w:val="000000"/>
                <w:sz w:val="21"/>
                <w:szCs w:val="21"/>
              </w:rPr>
            </w:pPr>
          </w:p>
          <w:p>
            <w:pPr>
              <w:rPr>
                <w:rFonts w:eastAsia="等线" w:cs="等线"/>
                <w:color w:val="000000"/>
                <w:sz w:val="21"/>
                <w:szCs w:val="21"/>
              </w:rPr>
            </w:pPr>
          </w:p>
          <w:p>
            <w:pP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6、附加说明（可选）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35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6.1 宣贯标准的</w:t>
            </w:r>
          </w:p>
          <w:p>
            <w:pPr>
              <w:jc w:val="center"/>
              <w:rPr>
                <w:rFonts w:eastAsia="等线" w:cs="等线"/>
                <w:color w:val="000000"/>
                <w:sz w:val="21"/>
                <w:szCs w:val="21"/>
              </w:rPr>
            </w:pPr>
            <w:r>
              <w:rPr>
                <w:rFonts w:hint="eastAsia" w:eastAsia="等线" w:cs="等线"/>
                <w:color w:val="000000"/>
                <w:sz w:val="21"/>
                <w:szCs w:val="21"/>
              </w:rPr>
              <w:t>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eastAsia="等线" w:cs="等线"/>
                <w:color w:val="000000"/>
                <w:sz w:val="21"/>
                <w:szCs w:val="21"/>
              </w:rPr>
              <w:t>本</w:t>
            </w:r>
            <w:r>
              <w:rPr>
                <w:rFonts w:hint="eastAsia" w:eastAsia="等线" w:cs="等线"/>
                <w:color w:val="000000"/>
                <w:sz w:val="21"/>
                <w:szCs w:val="21"/>
              </w:rPr>
              <w:t>标准</w:t>
            </w:r>
            <w:r>
              <w:rPr>
                <w:rFonts w:eastAsia="等线" w:cs="等线"/>
                <w:color w:val="000000"/>
                <w:sz w:val="21"/>
                <w:szCs w:val="21"/>
              </w:rPr>
              <w:t>发布实施后，应在全国范围内向</w:t>
            </w:r>
            <w:r>
              <w:rPr>
                <w:rFonts w:hint="eastAsia" w:eastAsia="等线" w:cs="等线"/>
                <w:color w:val="000000"/>
                <w:sz w:val="21"/>
                <w:szCs w:val="21"/>
              </w:rPr>
              <w:t>经营主体</w:t>
            </w:r>
            <w:r>
              <w:rPr>
                <w:rFonts w:eastAsia="等线" w:cs="等线"/>
                <w:color w:val="000000"/>
                <w:sz w:val="21"/>
                <w:szCs w:val="21"/>
              </w:rPr>
              <w:t>开展标准的宣贯工作</w:t>
            </w:r>
            <w:r>
              <w:rPr>
                <w:rFonts w:hint="eastAsia" w:eastAsia="等线" w:cs="等线"/>
                <w:color w:val="000000"/>
                <w:sz w:val="21"/>
                <w:szCs w:val="21"/>
              </w:rPr>
              <w:t>，</w:t>
            </w:r>
            <w:r>
              <w:rPr>
                <w:rFonts w:eastAsia="等线" w:cs="等线"/>
                <w:color w:val="000000"/>
                <w:sz w:val="21"/>
                <w:szCs w:val="21"/>
              </w:rPr>
              <w:t>以推进信用标准体系建设的协调性。</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32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32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color w:val="000000"/>
                <w:sz w:val="21"/>
                <w:szCs w:val="21"/>
              </w:rPr>
              <w:t>本标准</w:t>
            </w:r>
            <w:r>
              <w:rPr>
                <w:rFonts w:eastAsia="等线" w:cs="等线"/>
                <w:color w:val="000000"/>
                <w:sz w:val="21"/>
                <w:szCs w:val="21"/>
              </w:rPr>
              <w:t>规定经营主体信用信息的交换总体框架、交换方式及接口等技术及管理要求</w:t>
            </w:r>
            <w:r>
              <w:rPr>
                <w:rFonts w:hint="eastAsia" w:eastAsia="等线" w:cs="等线"/>
                <w:color w:val="000000"/>
                <w:sz w:val="21"/>
                <w:szCs w:val="21"/>
              </w:rPr>
              <w:t>，</w:t>
            </w:r>
            <w:r>
              <w:rPr>
                <w:rFonts w:eastAsia="等线" w:cs="等线"/>
                <w:color w:val="000000"/>
                <w:sz w:val="21"/>
                <w:szCs w:val="21"/>
              </w:rPr>
              <w:t>属于基础性通用标准，建议本</w:t>
            </w:r>
            <w:r>
              <w:rPr>
                <w:rFonts w:hint="eastAsia" w:eastAsia="等线" w:cs="等线"/>
                <w:color w:val="000000"/>
                <w:sz w:val="21"/>
                <w:szCs w:val="21"/>
              </w:rPr>
              <w:t>标准</w:t>
            </w:r>
            <w:r>
              <w:rPr>
                <w:rFonts w:eastAsia="等线" w:cs="等线"/>
                <w:color w:val="000000"/>
                <w:sz w:val="21"/>
                <w:szCs w:val="21"/>
              </w:rPr>
              <w:t>作为推荐性标准发布。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29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6.4 其他需要说明的情况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08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6.5 参考文献</w:t>
            </w:r>
          </w:p>
        </w:tc>
        <w:tc>
          <w:tcPr>
            <w:tcW w:w="7617" w:type="dxa"/>
            <w:gridSpan w:val="11"/>
            <w:tcBorders>
              <w:top w:val="single" w:color="auto" w:sz="6" w:space="0"/>
              <w:left w:val="single" w:color="auto" w:sz="4" w:space="0"/>
              <w:bottom w:val="single" w:color="auto" w:sz="6" w:space="0"/>
              <w:right w:val="single" w:color="auto" w:sz="4" w:space="0"/>
            </w:tcBorders>
          </w:tcPr>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1.</w:t>
            </w:r>
            <w:r>
              <w:rPr>
                <w:rFonts w:hint="eastAsia" w:ascii="Times New Roman" w:hAnsi="Times New Roman" w:eastAsia="等线" w:cs="等线"/>
                <w:color w:val="000000"/>
                <w:kern w:val="2"/>
                <w:szCs w:val="21"/>
              </w:rPr>
              <w:t xml:space="preserve">GB/T 2261.2-2003  个人基本信息分类与代码 </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2.GB/T 21062.2-2007</w:t>
            </w:r>
            <w:r>
              <w:rPr>
                <w:rFonts w:hint="eastAsia" w:ascii="Times New Roman" w:hAnsi="Times New Roman" w:eastAsia="等线" w:cs="等线"/>
                <w:color w:val="000000"/>
                <w:kern w:val="2"/>
                <w:szCs w:val="21"/>
              </w:rPr>
              <w:t xml:space="preserve">  政务信息资源交换体系第2部分：分布式应用间信息交换技术要求</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 xml:space="preserve">3.GB/T 21062.3-2007 </w:t>
            </w:r>
            <w:r>
              <w:rPr>
                <w:rFonts w:hint="eastAsia" w:ascii="Times New Roman" w:hAnsi="Times New Roman" w:eastAsia="等线" w:cs="等线"/>
                <w:color w:val="000000"/>
                <w:kern w:val="2"/>
                <w:szCs w:val="21"/>
              </w:rPr>
              <w:t xml:space="preserve"> 政务信息资源交换体系第3部分：异构数据库接口规范</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4.GB/T 21062.4-2007</w:t>
            </w:r>
            <w:r>
              <w:rPr>
                <w:rFonts w:hint="eastAsia" w:ascii="Times New Roman" w:hAnsi="Times New Roman" w:eastAsia="等线" w:cs="等线"/>
                <w:color w:val="000000"/>
                <w:kern w:val="2"/>
                <w:szCs w:val="21"/>
              </w:rPr>
              <w:t xml:space="preserve">  政务信息资源交换体系第4部分：技术管理要求</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5.</w:t>
            </w:r>
            <w:r>
              <w:rPr>
                <w:rFonts w:hint="eastAsia" w:ascii="Times New Roman" w:hAnsi="Times New Roman" w:eastAsia="等线" w:cs="等线"/>
                <w:color w:val="000000"/>
                <w:kern w:val="2"/>
                <w:szCs w:val="21"/>
              </w:rPr>
              <w:t>GB/T 22118  企业信用信息采集、处理和提供规范</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6.GB/T 22120</w:t>
            </w:r>
            <w:r>
              <w:rPr>
                <w:rFonts w:hint="eastAsia" w:ascii="Times New Roman" w:hAnsi="Times New Roman" w:eastAsia="等线" w:cs="等线"/>
                <w:color w:val="000000"/>
                <w:kern w:val="2"/>
                <w:szCs w:val="21"/>
              </w:rPr>
              <w:t xml:space="preserve">  企业信用数据项规范</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7.</w:t>
            </w:r>
            <w:r>
              <w:rPr>
                <w:rFonts w:hint="eastAsia" w:ascii="Times New Roman" w:hAnsi="Times New Roman" w:eastAsia="等线" w:cs="等线"/>
                <w:color w:val="000000"/>
                <w:kern w:val="2"/>
                <w:szCs w:val="21"/>
              </w:rPr>
              <w:t xml:space="preserve"> GB/T 23792  信用标准化工作指南</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8.</w:t>
            </w:r>
            <w:r>
              <w:rPr>
                <w:rFonts w:hint="eastAsia" w:ascii="Times New Roman" w:hAnsi="Times New Roman" w:eastAsia="等线" w:cs="等线"/>
                <w:color w:val="000000"/>
                <w:kern w:val="2"/>
                <w:szCs w:val="21"/>
              </w:rPr>
              <w:t>GB/T 26819  信用主体标识规范</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 xml:space="preserve">9.GB/T </w:t>
            </w:r>
            <w:r>
              <w:rPr>
                <w:rFonts w:hint="eastAsia" w:ascii="Times New Roman" w:hAnsi="Times New Roman" w:eastAsia="等线" w:cs="等线"/>
                <w:color w:val="000000"/>
                <w:kern w:val="2"/>
                <w:szCs w:val="21"/>
              </w:rPr>
              <w:t>39442</w:t>
            </w:r>
            <w:r>
              <w:rPr>
                <w:rFonts w:ascii="Times New Roman" w:hAnsi="Times New Roman" w:eastAsia="等线" w:cs="等线"/>
                <w:color w:val="000000"/>
                <w:kern w:val="2"/>
                <w:szCs w:val="21"/>
              </w:rPr>
              <w:t>—</w:t>
            </w:r>
            <w:r>
              <w:rPr>
                <w:rFonts w:hint="eastAsia" w:ascii="Times New Roman" w:hAnsi="Times New Roman" w:eastAsia="等线" w:cs="等线"/>
                <w:color w:val="000000"/>
                <w:kern w:val="2"/>
                <w:szCs w:val="21"/>
              </w:rPr>
              <w:t>2020 公共信用信息资源标识规则</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10.</w:t>
            </w:r>
            <w:r>
              <w:rPr>
                <w:rFonts w:hint="eastAsia" w:ascii="Times New Roman" w:hAnsi="Times New Roman" w:eastAsia="等线" w:cs="等线"/>
                <w:color w:val="000000"/>
                <w:kern w:val="2"/>
                <w:szCs w:val="21"/>
              </w:rPr>
              <w:t>《国务院办公厅关于运用大数据加强对经营主体服务和监管的若干意见》（国办发〔</w:t>
            </w:r>
            <w:r>
              <w:rPr>
                <w:rFonts w:ascii="Times New Roman" w:hAnsi="Times New Roman" w:eastAsia="等线" w:cs="等线"/>
                <w:color w:val="000000"/>
                <w:kern w:val="2"/>
                <w:szCs w:val="21"/>
              </w:rPr>
              <w:t>2015</w:t>
            </w:r>
            <w:r>
              <w:rPr>
                <w:rFonts w:hint="eastAsia" w:ascii="Times New Roman" w:hAnsi="Times New Roman" w:eastAsia="等线" w:cs="等线"/>
                <w:color w:val="000000"/>
                <w:kern w:val="2"/>
                <w:szCs w:val="21"/>
              </w:rPr>
              <w:t>〕</w:t>
            </w:r>
            <w:r>
              <w:rPr>
                <w:rFonts w:ascii="Times New Roman" w:hAnsi="Times New Roman" w:eastAsia="等线" w:cs="等线"/>
                <w:color w:val="000000"/>
                <w:kern w:val="2"/>
                <w:szCs w:val="21"/>
              </w:rPr>
              <w:t>51</w:t>
            </w:r>
            <w:r>
              <w:rPr>
                <w:rFonts w:hint="eastAsia" w:ascii="Times New Roman" w:hAnsi="Times New Roman" w:eastAsia="等线" w:cs="等线"/>
                <w:color w:val="000000"/>
                <w:kern w:val="2"/>
                <w:szCs w:val="21"/>
              </w:rPr>
              <w:t>号）</w:t>
            </w:r>
          </w:p>
          <w:p>
            <w:pPr>
              <w:pStyle w:val="10"/>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11.</w:t>
            </w:r>
            <w:r>
              <w:rPr>
                <w:rFonts w:hint="eastAsia" w:ascii="Times New Roman" w:hAnsi="Times New Roman" w:eastAsia="等线" w:cs="等线"/>
                <w:color w:val="000000"/>
                <w:kern w:val="2"/>
                <w:szCs w:val="21"/>
              </w:rPr>
              <w:t>《政务信息资源共享管理暂行办法》（</w:t>
            </w:r>
            <w:r>
              <w:rPr>
                <w:rFonts w:ascii="Times New Roman" w:hAnsi="Times New Roman" w:eastAsia="等线" w:cs="等线"/>
                <w:color w:val="000000"/>
                <w:kern w:val="2"/>
                <w:szCs w:val="21"/>
              </w:rPr>
              <w:t>国发〔</w:t>
            </w:r>
            <w:r>
              <w:rPr>
                <w:rFonts w:hint="eastAsia" w:ascii="Times New Roman" w:hAnsi="Times New Roman" w:eastAsia="等线" w:cs="等线"/>
                <w:color w:val="000000"/>
                <w:kern w:val="2"/>
                <w:szCs w:val="21"/>
              </w:rPr>
              <w:t>2016</w:t>
            </w:r>
            <w:r>
              <w:rPr>
                <w:rFonts w:ascii="Times New Roman" w:hAnsi="Times New Roman" w:eastAsia="等线" w:cs="等线"/>
                <w:color w:val="000000"/>
                <w:kern w:val="2"/>
                <w:szCs w:val="21"/>
              </w:rPr>
              <w:t>〕</w:t>
            </w:r>
            <w:r>
              <w:rPr>
                <w:rFonts w:hint="eastAsia" w:ascii="Times New Roman" w:hAnsi="Times New Roman" w:eastAsia="等线" w:cs="等线"/>
                <w:color w:val="000000"/>
                <w:kern w:val="2"/>
                <w:szCs w:val="21"/>
              </w:rPr>
              <w:t>51</w:t>
            </w:r>
            <w:r>
              <w:rPr>
                <w:rFonts w:ascii="Times New Roman" w:hAnsi="Times New Roman" w:eastAsia="等线" w:cs="等线"/>
                <w:color w:val="000000"/>
                <w:kern w:val="2"/>
                <w:szCs w:val="21"/>
              </w:rPr>
              <w:t>号</w:t>
            </w:r>
            <w:r>
              <w:rPr>
                <w:rFonts w:hint="eastAsia" w:ascii="Times New Roman" w:hAnsi="Times New Roman" w:eastAsia="等线" w:cs="等线"/>
                <w:color w:val="000000"/>
                <w:kern w:val="2"/>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40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联系人</w:t>
            </w:r>
          </w:p>
        </w:tc>
        <w:tc>
          <w:tcPr>
            <w:tcW w:w="1346"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孟翠竹</w:t>
            </w:r>
          </w:p>
        </w:tc>
        <w:tc>
          <w:tcPr>
            <w:tcW w:w="138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联系电话</w:t>
            </w:r>
          </w:p>
        </w:tc>
        <w:tc>
          <w:tcPr>
            <w:tcW w:w="1646"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0</w:t>
            </w:r>
            <w:r>
              <w:rPr>
                <w:rFonts w:eastAsia="等线" w:cs="等线"/>
                <w:color w:val="000000"/>
                <w:sz w:val="21"/>
                <w:szCs w:val="21"/>
              </w:rPr>
              <w:t>10-58811652</w:t>
            </w:r>
          </w:p>
        </w:tc>
        <w:tc>
          <w:tcPr>
            <w:tcW w:w="132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电子邮箱</w:t>
            </w:r>
          </w:p>
        </w:tc>
        <w:tc>
          <w:tcPr>
            <w:tcW w:w="1907"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eastAsia="等线" w:cs="等线"/>
                <w:color w:val="000000"/>
                <w:sz w:val="21"/>
                <w:szCs w:val="21"/>
              </w:rPr>
              <w:t>m</w:t>
            </w:r>
            <w:r>
              <w:rPr>
                <w:rFonts w:hint="eastAsia" w:eastAsia="等线" w:cs="等线"/>
                <w:color w:val="000000"/>
                <w:sz w:val="21"/>
                <w:szCs w:val="21"/>
              </w:rPr>
              <w:t>engcz</w:t>
            </w:r>
            <w:r>
              <w:rPr>
                <w:rFonts w:eastAsia="等线" w:cs="等线"/>
                <w:color w:val="000000"/>
                <w:sz w:val="21"/>
                <w:szCs w:val="21"/>
              </w:rPr>
              <w:t>@cnis.ac.cn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Ex>
        <w:trPr>
          <w:cantSplit/>
          <w:trHeight w:val="1122"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adjustRightInd w:val="0"/>
              <w:spacing w:before="60" w:line="360" w:lineRule="auto"/>
              <w:ind w:firstLine="441"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pPr>
              <w:ind w:firstLine="420" w:firstLineChars="200"/>
              <w:rPr>
                <w:rFonts w:eastAsia="等线" w:cs="等线"/>
                <w:color w:val="000000"/>
                <w:sz w:val="21"/>
                <w:szCs w:val="21"/>
              </w:rPr>
            </w:pPr>
          </w:p>
          <w:p>
            <w:pPr>
              <w:rPr>
                <w:rFonts w:eastAsia="等线" w:cs="等线"/>
                <w:color w:val="000000"/>
                <w:sz w:val="21"/>
                <w:szCs w:val="21"/>
              </w:rPr>
            </w:pPr>
          </w:p>
          <w:p>
            <w:pPr>
              <w:ind w:firstLine="420" w:firstLineChars="200"/>
              <w:jc w:val="right"/>
              <w:rPr>
                <w:rFonts w:eastAsia="等线" w:cs="等线"/>
                <w:color w:val="000000"/>
                <w:sz w:val="21"/>
                <w:szCs w:val="21"/>
              </w:rPr>
            </w:pPr>
            <w:r>
              <w:rPr>
                <w:rFonts w:hint="eastAsia" w:eastAsia="等线" w:cs="等线"/>
                <w:color w:val="000000"/>
                <w:sz w:val="21"/>
                <w:szCs w:val="21"/>
              </w:rPr>
              <w:t xml:space="preserve">编写日期：  </w:t>
            </w:r>
            <w:r>
              <w:rPr>
                <w:rFonts w:eastAsia="等线" w:cs="等线"/>
                <w:color w:val="000000"/>
                <w:sz w:val="21"/>
                <w:szCs w:val="21"/>
              </w:rPr>
              <w:t>2024</w:t>
            </w:r>
            <w:r>
              <w:rPr>
                <w:rFonts w:hint="eastAsia" w:eastAsia="等线" w:cs="等线"/>
                <w:color w:val="000000"/>
                <w:sz w:val="21"/>
                <w:szCs w:val="21"/>
              </w:rPr>
              <w:t xml:space="preserve">年 </w:t>
            </w:r>
            <w:r>
              <w:rPr>
                <w:rFonts w:eastAsia="等线" w:cs="等线"/>
                <w:color w:val="000000"/>
                <w:sz w:val="21"/>
                <w:szCs w:val="21"/>
              </w:rPr>
              <w:t>9</w:t>
            </w:r>
            <w:r>
              <w:rPr>
                <w:rFonts w:hint="eastAsia" w:eastAsia="等线" w:cs="等线"/>
                <w:color w:val="000000"/>
                <w:sz w:val="21"/>
                <w:szCs w:val="21"/>
              </w:rPr>
              <w:t xml:space="preserve"> 月 </w:t>
            </w:r>
            <w:r>
              <w:rPr>
                <w:rFonts w:eastAsia="等线" w:cs="等线"/>
                <w:color w:val="000000"/>
                <w:sz w:val="21"/>
                <w:szCs w:val="21"/>
              </w:rPr>
              <w:t>26</w:t>
            </w:r>
            <w:r>
              <w:rPr>
                <w:rFonts w:hint="eastAsia" w:eastAsia="等线" w:cs="等线"/>
                <w:color w:val="000000"/>
                <w:sz w:val="21"/>
                <w:szCs w:val="21"/>
              </w:rPr>
              <w:t xml:space="preserve">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Wingdings 2">
    <w:panose1 w:val="05020102010507070707"/>
    <w:charset w:val="02"/>
    <w:family w:val="roman"/>
    <w:pitch w:val="default"/>
    <w:sig w:usb0="00000000" w:usb1="00000000" w:usb2="00000000" w:usb3="00000000" w:csb0="80000000" w:csb1="0000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A56D0"/>
    <w:multiLevelType w:val="multilevel"/>
    <w:tmpl w:val="1F6A56D0"/>
    <w:lvl w:ilvl="0" w:tentative="0">
      <w:start w:val="1"/>
      <w:numFmt w:val="decimal"/>
      <w:lvlText w:val="%1."/>
      <w:lvlJc w:val="left"/>
      <w:pPr>
        <w:ind w:left="0" w:firstLine="0"/>
      </w:pPr>
      <w:rPr>
        <w:rFonts w:hint="eastAsia"/>
        <w:b w:val="0"/>
        <w:i w:val="0"/>
        <w:sz w:val="21"/>
        <w:szCs w:val="21"/>
      </w:rPr>
    </w:lvl>
    <w:lvl w:ilvl="1" w:tentative="0">
      <w:start w:val="1"/>
      <w:numFmt w:val="decimal"/>
      <w:pStyle w:val="13"/>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color w:val="000000"/>
        <w:spacing w:val="0"/>
        <w:kern w:val="0"/>
        <w:position w:val="0"/>
        <w:sz w:val="21"/>
        <w:szCs w:val="21"/>
        <w:u w:val="none"/>
        <w:vertAlign w:val="baseline"/>
      </w:rPr>
    </w:lvl>
    <w:lvl w:ilvl="2" w:tentative="0">
      <w:start w:val="1"/>
      <w:numFmt w:val="decimal"/>
      <w:pStyle w:val="15"/>
      <w:suff w:val="nothing"/>
      <w:lvlText w:val="%1.%2.%3　"/>
      <w:lvlJc w:val="left"/>
      <w:pPr>
        <w:ind w:left="0" w:firstLine="0"/>
      </w:pPr>
      <w:rPr>
        <w:rFonts w:hint="eastAsia" w:ascii="黑体" w:hAnsi="Times New Roman" w:eastAsia="黑体"/>
        <w:b w:val="0"/>
        <w:i w:val="0"/>
        <w:sz w:val="21"/>
      </w:rPr>
    </w:lvl>
    <w:lvl w:ilvl="3" w:tentative="0">
      <w:start w:val="1"/>
      <w:numFmt w:val="decimal"/>
      <w:pStyle w:val="17"/>
      <w:suff w:val="nothing"/>
      <w:lvlText w:val="%1.%2.%3.%4　"/>
      <w:lvlJc w:val="left"/>
      <w:pPr>
        <w:ind w:left="0" w:firstLine="0"/>
      </w:pPr>
      <w:rPr>
        <w:rFonts w:hint="eastAsia" w:ascii="黑体" w:hAnsi="Times New Roman" w:eastAsia="黑体"/>
        <w:b w:val="0"/>
        <w:i w:val="0"/>
        <w:sz w:val="21"/>
        <w:lang w:val="en-US"/>
      </w:rPr>
    </w:lvl>
    <w:lvl w:ilvl="4" w:tentative="0">
      <w:start w:val="1"/>
      <w:numFmt w:val="decimal"/>
      <w:pStyle w:val="18"/>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kMzVhMGJiMTFmMmE5MWU4ZmZjZjBmMDYyZjk5YmQifQ=="/>
  </w:docVars>
  <w:rsids>
    <w:rsidRoot w:val="00387DFD"/>
    <w:rsid w:val="00017FE8"/>
    <w:rsid w:val="00046A4A"/>
    <w:rsid w:val="000554B5"/>
    <w:rsid w:val="000851F7"/>
    <w:rsid w:val="000B3B0A"/>
    <w:rsid w:val="001369F1"/>
    <w:rsid w:val="00204209"/>
    <w:rsid w:val="002755AF"/>
    <w:rsid w:val="00277694"/>
    <w:rsid w:val="002C708D"/>
    <w:rsid w:val="002D73C5"/>
    <w:rsid w:val="0038728E"/>
    <w:rsid w:val="00387DFD"/>
    <w:rsid w:val="00460758"/>
    <w:rsid w:val="004B0941"/>
    <w:rsid w:val="004F5B52"/>
    <w:rsid w:val="00571089"/>
    <w:rsid w:val="005B6CA7"/>
    <w:rsid w:val="006322F4"/>
    <w:rsid w:val="00697AE9"/>
    <w:rsid w:val="006C0C6B"/>
    <w:rsid w:val="007651E6"/>
    <w:rsid w:val="007B4D12"/>
    <w:rsid w:val="00875342"/>
    <w:rsid w:val="008B0B9D"/>
    <w:rsid w:val="008C2E24"/>
    <w:rsid w:val="00904005"/>
    <w:rsid w:val="0095425C"/>
    <w:rsid w:val="009D0B9A"/>
    <w:rsid w:val="00BA2D71"/>
    <w:rsid w:val="00BA7E99"/>
    <w:rsid w:val="00BE0E9F"/>
    <w:rsid w:val="00C625A5"/>
    <w:rsid w:val="00C857AB"/>
    <w:rsid w:val="00CB188E"/>
    <w:rsid w:val="00CC0B70"/>
    <w:rsid w:val="00D50600"/>
    <w:rsid w:val="00E11F06"/>
    <w:rsid w:val="00E5567E"/>
    <w:rsid w:val="00E70244"/>
    <w:rsid w:val="00E71BDA"/>
    <w:rsid w:val="00EB1AF4"/>
    <w:rsid w:val="00EB1DA1"/>
    <w:rsid w:val="00EF40FD"/>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D897D96"/>
    <w:rsid w:val="0EE0531B"/>
    <w:rsid w:val="10B44943"/>
    <w:rsid w:val="11657A0B"/>
    <w:rsid w:val="118D45D8"/>
    <w:rsid w:val="11E533D5"/>
    <w:rsid w:val="1236452E"/>
    <w:rsid w:val="13A846F6"/>
    <w:rsid w:val="13B13BC4"/>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A634B4"/>
    <w:rsid w:val="37E54EE7"/>
    <w:rsid w:val="383C3C87"/>
    <w:rsid w:val="38A4279C"/>
    <w:rsid w:val="38B7566A"/>
    <w:rsid w:val="39D863DB"/>
    <w:rsid w:val="3A19018A"/>
    <w:rsid w:val="3A851CE4"/>
    <w:rsid w:val="3B3F0F23"/>
    <w:rsid w:val="3BD5178E"/>
    <w:rsid w:val="3BF27F68"/>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145D45"/>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D2A3B6F"/>
    <w:rsid w:val="5DF878F6"/>
    <w:rsid w:val="5E857B5E"/>
    <w:rsid w:val="60647A74"/>
    <w:rsid w:val="612B2779"/>
    <w:rsid w:val="61571C02"/>
    <w:rsid w:val="61984230"/>
    <w:rsid w:val="619D0B77"/>
    <w:rsid w:val="629D46B5"/>
    <w:rsid w:val="63C25B2E"/>
    <w:rsid w:val="64410E4C"/>
    <w:rsid w:val="64A40FC0"/>
    <w:rsid w:val="64C31DA5"/>
    <w:rsid w:val="658E052F"/>
    <w:rsid w:val="666279CF"/>
    <w:rsid w:val="67CC6A64"/>
    <w:rsid w:val="689A2ED2"/>
    <w:rsid w:val="696B6C9F"/>
    <w:rsid w:val="6AA62C60"/>
    <w:rsid w:val="6B576C33"/>
    <w:rsid w:val="6C4B308E"/>
    <w:rsid w:val="6D08109F"/>
    <w:rsid w:val="6D142541"/>
    <w:rsid w:val="6DED2EC2"/>
    <w:rsid w:val="6EB77451"/>
    <w:rsid w:val="6F2F125E"/>
    <w:rsid w:val="707261C5"/>
    <w:rsid w:val="708615F7"/>
    <w:rsid w:val="71161D2A"/>
    <w:rsid w:val="716B30BF"/>
    <w:rsid w:val="729F2FE4"/>
    <w:rsid w:val="72DD7BB7"/>
    <w:rsid w:val="73394925"/>
    <w:rsid w:val="7474180A"/>
    <w:rsid w:val="768235F7"/>
    <w:rsid w:val="76D94C8A"/>
    <w:rsid w:val="77AE2DC1"/>
    <w:rsid w:val="77C61DD1"/>
    <w:rsid w:val="79405401"/>
    <w:rsid w:val="7A23502E"/>
    <w:rsid w:val="7A3D74CF"/>
    <w:rsid w:val="7A4152D8"/>
    <w:rsid w:val="7A532747"/>
    <w:rsid w:val="7CAE2319"/>
    <w:rsid w:val="7DFF3469"/>
    <w:rsid w:val="7E3668D4"/>
    <w:rsid w:val="7E4F75B6"/>
    <w:rsid w:val="7F037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link w:val="11"/>
    <w:qFormat/>
    <w:uiPriority w:val="9"/>
    <w:pPr>
      <w:widowControl/>
      <w:overflowPunct/>
      <w:topLinePunct w:val="0"/>
      <w:spacing w:before="100" w:beforeAutospacing="1" w:after="100" w:afterAutospacing="1"/>
      <w:jc w:val="left"/>
      <w:outlineLvl w:val="0"/>
    </w:pPr>
    <w:rPr>
      <w:rFonts w:ascii="宋体" w:hAnsi="宋体" w:eastAsia="宋体" w:cs="宋体"/>
      <w:b/>
      <w:bCs/>
      <w:kern w:val="36"/>
      <w:sz w:val="48"/>
      <w:szCs w:val="48"/>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21"/>
    <w:unhideWhenUsed/>
    <w:qFormat/>
    <w:uiPriority w:val="99"/>
    <w:rPr>
      <w:sz w:val="18"/>
      <w:szCs w:val="18"/>
    </w:rPr>
  </w:style>
  <w:style w:type="paragraph" w:styleId="4">
    <w:name w:val="footer"/>
    <w:basedOn w:val="1"/>
    <w:link w:val="20"/>
    <w:uiPriority w:val="0"/>
    <w:pPr>
      <w:tabs>
        <w:tab w:val="center" w:pos="4153"/>
        <w:tab w:val="right" w:pos="8306"/>
      </w:tabs>
      <w:snapToGrid w:val="0"/>
      <w:jc w:val="left"/>
    </w:pPr>
    <w:rPr>
      <w:sz w:val="18"/>
      <w:szCs w:val="18"/>
    </w:rPr>
  </w:style>
  <w:style w:type="paragraph" w:styleId="5">
    <w:name w:val="header"/>
    <w:basedOn w:val="1"/>
    <w:link w:val="19"/>
    <w:uiPriority w:val="0"/>
    <w:pPr>
      <w:pBdr>
        <w:bottom w:val="single" w:color="auto" w:sz="6" w:space="1"/>
      </w:pBdr>
      <w:tabs>
        <w:tab w:val="center" w:pos="4153"/>
        <w:tab w:val="right" w:pos="8306"/>
      </w:tabs>
      <w:snapToGrid w:val="0"/>
      <w:jc w:val="center"/>
    </w:pPr>
    <w:rPr>
      <w:sz w:val="18"/>
      <w:szCs w:val="18"/>
    </w:rPr>
  </w:style>
  <w:style w:type="character" w:styleId="7">
    <w:name w:val="endnote reference"/>
    <w:uiPriority w:val="0"/>
    <w:rPr>
      <w:vertAlign w:val="superscript"/>
    </w:rPr>
  </w:style>
  <w:style w:type="character" w:customStyle="1" w:styleId="9">
    <w:name w:val="段 Char"/>
    <w:link w:val="10"/>
    <w:qFormat/>
    <w:uiPriority w:val="0"/>
    <w:rPr>
      <w:rFonts w:ascii="宋体"/>
      <w:sz w:val="21"/>
      <w:lang w:val="en-US" w:eastAsia="zh-CN"/>
    </w:rPr>
  </w:style>
  <w:style w:type="paragraph" w:customStyle="1" w:styleId="10">
    <w:name w:val="段"/>
    <w:link w:val="9"/>
    <w:qFormat/>
    <w:uiPriority w:val="0"/>
    <w:pPr>
      <w:autoSpaceDE w:val="0"/>
      <w:autoSpaceDN w:val="0"/>
      <w:ind w:firstLine="200" w:firstLineChars="200"/>
      <w:jc w:val="both"/>
    </w:pPr>
    <w:rPr>
      <w:rFonts w:ascii="宋体" w:hAnsiTheme="minorHAnsi" w:eastAsiaTheme="minorEastAsia" w:cstheme="minorBidi"/>
      <w:sz w:val="21"/>
      <w:lang w:val="en-US" w:eastAsia="zh-CN" w:bidi="ar-SA"/>
    </w:rPr>
  </w:style>
  <w:style w:type="character" w:customStyle="1" w:styleId="11">
    <w:name w:val="标题 1 字符"/>
    <w:basedOn w:val="6"/>
    <w:link w:val="2"/>
    <w:qFormat/>
    <w:uiPriority w:val="9"/>
    <w:rPr>
      <w:rFonts w:ascii="宋体" w:hAnsi="宋体" w:eastAsia="宋体" w:cs="宋体"/>
      <w:b/>
      <w:bCs/>
      <w:kern w:val="36"/>
      <w:sz w:val="48"/>
      <w:szCs w:val="48"/>
    </w:rPr>
  </w:style>
  <w:style w:type="character" w:customStyle="1" w:styleId="12">
    <w:name w:val="章标题 Char"/>
    <w:link w:val="13"/>
    <w:qFormat/>
    <w:uiPriority w:val="0"/>
    <w:rPr>
      <w:rFonts w:ascii="黑体" w:eastAsia="黑体"/>
      <w:sz w:val="21"/>
    </w:rPr>
  </w:style>
  <w:style w:type="paragraph" w:customStyle="1" w:styleId="13">
    <w:name w:val="章标题"/>
    <w:next w:val="10"/>
    <w:link w:val="12"/>
    <w:qFormat/>
    <w:uiPriority w:val="0"/>
    <w:pPr>
      <w:numPr>
        <w:ilvl w:val="1"/>
        <w:numId w:val="1"/>
      </w:numPr>
      <w:spacing w:before="50" w:beforeLines="50" w:after="50" w:afterLines="50"/>
      <w:jc w:val="both"/>
      <w:outlineLvl w:val="1"/>
    </w:pPr>
    <w:rPr>
      <w:rFonts w:ascii="黑体" w:eastAsia="黑体" w:hAnsiTheme="minorHAnsi" w:cstheme="minorBidi"/>
      <w:sz w:val="21"/>
      <w:lang w:val="en-US" w:eastAsia="zh-CN" w:bidi="ar-SA"/>
    </w:rPr>
  </w:style>
  <w:style w:type="character" w:customStyle="1" w:styleId="14">
    <w:name w:val="一级条标题 Char Char"/>
    <w:link w:val="15"/>
    <w:uiPriority w:val="0"/>
    <w:rPr>
      <w:rFonts w:ascii="黑体" w:eastAsia="黑体"/>
      <w:sz w:val="21"/>
    </w:rPr>
  </w:style>
  <w:style w:type="paragraph" w:customStyle="1" w:styleId="15">
    <w:name w:val="一级条标题"/>
    <w:basedOn w:val="13"/>
    <w:next w:val="10"/>
    <w:link w:val="14"/>
    <w:qFormat/>
    <w:uiPriority w:val="0"/>
    <w:pPr>
      <w:numPr>
        <w:ilvl w:val="2"/>
      </w:numPr>
      <w:spacing w:before="0" w:beforeLines="0" w:after="0" w:afterLines="0"/>
      <w:outlineLvl w:val="2"/>
    </w:pPr>
  </w:style>
  <w:style w:type="character" w:customStyle="1" w:styleId="16">
    <w:name w:val="二级条标题 Char"/>
    <w:basedOn w:val="6"/>
    <w:link w:val="17"/>
    <w:qFormat/>
    <w:uiPriority w:val="0"/>
    <w:rPr>
      <w:rFonts w:ascii="黑体" w:hAnsi="黑体" w:eastAsia="黑体"/>
      <w:b/>
      <w:sz w:val="21"/>
    </w:rPr>
  </w:style>
  <w:style w:type="paragraph" w:customStyle="1" w:styleId="17">
    <w:name w:val="二级条标题"/>
    <w:basedOn w:val="15"/>
    <w:next w:val="10"/>
    <w:link w:val="16"/>
    <w:qFormat/>
    <w:uiPriority w:val="0"/>
    <w:pPr>
      <w:numPr>
        <w:ilvl w:val="3"/>
      </w:numPr>
      <w:outlineLvl w:val="3"/>
    </w:pPr>
    <w:rPr>
      <w:rFonts w:hAnsi="黑体"/>
      <w:b/>
    </w:rPr>
  </w:style>
  <w:style w:type="paragraph" w:customStyle="1" w:styleId="18">
    <w:name w:val="三级条标题"/>
    <w:basedOn w:val="17"/>
    <w:next w:val="10"/>
    <w:qFormat/>
    <w:uiPriority w:val="0"/>
    <w:pPr>
      <w:numPr>
        <w:ilvl w:val="4"/>
      </w:numPr>
      <w:outlineLvl w:val="4"/>
    </w:pPr>
    <w:rPr>
      <w:rFonts w:hAnsi="Times New Roman" w:cs="Times New Roman"/>
      <w:b w:val="0"/>
    </w:rPr>
  </w:style>
  <w:style w:type="character" w:customStyle="1" w:styleId="19">
    <w:name w:val="页眉 字符"/>
    <w:basedOn w:val="6"/>
    <w:link w:val="5"/>
    <w:uiPriority w:val="0"/>
    <w:rPr>
      <w:rFonts w:ascii="Times New Roman" w:hAnsi="Times New Roman" w:eastAsia="仿宋_GB2312" w:cs="Times New Roman"/>
      <w:kern w:val="2"/>
      <w:sz w:val="18"/>
      <w:szCs w:val="18"/>
    </w:rPr>
  </w:style>
  <w:style w:type="character" w:customStyle="1" w:styleId="20">
    <w:name w:val="页脚 字符"/>
    <w:basedOn w:val="6"/>
    <w:link w:val="4"/>
    <w:uiPriority w:val="0"/>
    <w:rPr>
      <w:rFonts w:ascii="Times New Roman" w:hAnsi="Times New Roman" w:eastAsia="仿宋_GB2312" w:cs="Times New Roman"/>
      <w:kern w:val="2"/>
      <w:sz w:val="18"/>
      <w:szCs w:val="18"/>
    </w:rPr>
  </w:style>
  <w:style w:type="character" w:customStyle="1" w:styleId="21">
    <w:name w:val="批注框文本 字符"/>
    <w:basedOn w:val="6"/>
    <w:link w:val="3"/>
    <w:qFormat/>
    <w:uiPriority w:val="99"/>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6</Pages>
  <Words>628</Words>
  <Characters>3586</Characters>
  <Lines>29</Lines>
  <Paragraphs>8</Paragraphs>
  <TotalTime>0</TotalTime>
  <ScaleCrop>false</ScaleCrop>
  <LinksUpToDate>false</LinksUpToDate>
  <CharactersWithSpaces>4206</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2021-03-21T03:45:00Z</dcterms:created>
  <dc:creator>buwei</dc:creator>
  <cp:lastModifiedBy>acer</cp:lastModifiedBy>
  <dcterms:modified xsi:type="dcterms:W3CDTF">2024-09-26T09:16:43Z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y fmtid="{D5CDD505-2E9C-101B-9397-08002B2CF9AE}" pid="3" name="ICV">
    <vt:lpwstr>556D35A7633E424B90D6F8B5BFE34E0A</vt:lpwstr>
  </property>
</Properties>
</file>