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10FEE">
      <w:pPr>
        <w:autoSpaceDE w:val="0"/>
        <w:autoSpaceDN w:val="0"/>
        <w:adjustRightInd w:val="0"/>
        <w:jc w:val="center"/>
        <w:rPr>
          <w:rFonts w:eastAsia="方正仿宋简体"/>
          <w:color w:val="000000"/>
          <w:sz w:val="24"/>
        </w:rPr>
      </w:pPr>
      <w:r>
        <w:rPr>
          <w:rFonts w:hint="eastAsia" w:eastAsia="方正小标宋简体"/>
          <w:sz w:val="44"/>
          <w:szCs w:val="44"/>
        </w:rPr>
        <w:t>市场监管行业标准编制说明</w:t>
      </w:r>
    </w:p>
    <w:tbl>
      <w:tblPr>
        <w:tblStyle w:val="2"/>
        <w:tblW w:w="9019"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688"/>
        <w:gridCol w:w="1316"/>
        <w:gridCol w:w="336"/>
        <w:gridCol w:w="865"/>
        <w:gridCol w:w="263"/>
        <w:gridCol w:w="392"/>
        <w:gridCol w:w="728"/>
        <w:gridCol w:w="221"/>
        <w:gridCol w:w="806"/>
        <w:gridCol w:w="195"/>
        <w:gridCol w:w="2209"/>
      </w:tblGrid>
      <w:tr w14:paraId="02B36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71" w:hRule="atLeast"/>
        </w:trPr>
        <w:tc>
          <w:tcPr>
            <w:tcW w:w="9019" w:type="dxa"/>
            <w:gridSpan w:val="11"/>
            <w:tcBorders>
              <w:top w:val="single" w:color="auto" w:sz="4" w:space="0"/>
              <w:left w:val="single" w:color="auto" w:sz="4" w:space="0"/>
              <w:bottom w:val="single" w:color="auto" w:sz="4" w:space="0"/>
              <w:right w:val="single" w:color="auto" w:sz="4" w:space="0"/>
            </w:tcBorders>
            <w:vAlign w:val="center"/>
          </w:tcPr>
          <w:p w14:paraId="397CC58C">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14:paraId="39346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554" w:hRule="atLeast"/>
        </w:trPr>
        <w:tc>
          <w:tcPr>
            <w:tcW w:w="1688" w:type="dxa"/>
            <w:vMerge w:val="restart"/>
            <w:tcBorders>
              <w:top w:val="single" w:color="auto" w:sz="4" w:space="0"/>
              <w:left w:val="single" w:color="auto" w:sz="4" w:space="0"/>
              <w:bottom w:val="single" w:color="auto" w:sz="4" w:space="0"/>
              <w:right w:val="single" w:color="auto" w:sz="4" w:space="0"/>
            </w:tcBorders>
            <w:vAlign w:val="center"/>
          </w:tcPr>
          <w:p w14:paraId="3856E9EE">
            <w:pPr>
              <w:jc w:val="center"/>
              <w:rPr>
                <w:rFonts w:eastAsia="等线" w:cs="等线"/>
                <w:color w:val="000000"/>
                <w:sz w:val="21"/>
                <w:szCs w:val="21"/>
              </w:rPr>
            </w:pPr>
            <w:r>
              <w:rPr>
                <w:rFonts w:hint="eastAsia" w:eastAsia="等线" w:cs="等线"/>
                <w:color w:val="000000"/>
                <w:sz w:val="21"/>
                <w:szCs w:val="21"/>
              </w:rPr>
              <w:t>1.1 标准名称</w:t>
            </w:r>
          </w:p>
        </w:tc>
        <w:tc>
          <w:tcPr>
            <w:tcW w:w="1652" w:type="dxa"/>
            <w:gridSpan w:val="2"/>
            <w:tcBorders>
              <w:top w:val="single" w:color="auto" w:sz="4" w:space="0"/>
              <w:left w:val="single" w:color="auto" w:sz="4" w:space="0"/>
              <w:bottom w:val="single" w:color="auto" w:sz="4" w:space="0"/>
              <w:right w:val="single" w:color="auto" w:sz="4" w:space="0"/>
            </w:tcBorders>
            <w:vAlign w:val="center"/>
          </w:tcPr>
          <w:p w14:paraId="79593177">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679" w:type="dxa"/>
            <w:gridSpan w:val="8"/>
            <w:tcBorders>
              <w:top w:val="single" w:color="auto" w:sz="4" w:space="0"/>
              <w:left w:val="single" w:color="auto" w:sz="4" w:space="0"/>
              <w:bottom w:val="single" w:color="auto" w:sz="4" w:space="0"/>
              <w:right w:val="single" w:color="auto" w:sz="4" w:space="0"/>
            </w:tcBorders>
            <w:vAlign w:val="center"/>
          </w:tcPr>
          <w:p w14:paraId="6DCBA98C">
            <w:pPr>
              <w:spacing w:line="360" w:lineRule="exact"/>
              <w:jc w:val="center"/>
              <w:rPr>
                <w:rFonts w:ascii="宋体" w:hAnsi="宋体" w:eastAsia="宋体" w:cs="等线"/>
                <w:bCs/>
                <w:color w:val="000000"/>
                <w:sz w:val="21"/>
                <w:szCs w:val="21"/>
              </w:rPr>
            </w:pPr>
            <w:r>
              <w:rPr>
                <w:rFonts w:hint="eastAsia" w:ascii="宋体" w:hAnsi="宋体" w:eastAsia="宋体" w:cs="等线"/>
                <w:bCs/>
                <w:color w:val="000000"/>
                <w:sz w:val="21"/>
                <w:szCs w:val="21"/>
              </w:rPr>
              <w:t>储罐底板自动漏磁检测机器人通用技术条件</w:t>
            </w:r>
          </w:p>
        </w:tc>
      </w:tr>
      <w:tr w14:paraId="131DA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98" w:hRule="atLeast"/>
        </w:trPr>
        <w:tc>
          <w:tcPr>
            <w:tcW w:w="1688" w:type="dxa"/>
            <w:vMerge w:val="continue"/>
            <w:tcBorders>
              <w:top w:val="single" w:color="auto" w:sz="4" w:space="0"/>
              <w:left w:val="single" w:color="auto" w:sz="4" w:space="0"/>
              <w:bottom w:val="single" w:color="auto" w:sz="4" w:space="0"/>
              <w:right w:val="single" w:color="auto" w:sz="4" w:space="0"/>
            </w:tcBorders>
            <w:vAlign w:val="center"/>
          </w:tcPr>
          <w:p w14:paraId="299B1475">
            <w:pPr>
              <w:widowControl/>
              <w:jc w:val="left"/>
              <w:rPr>
                <w:rFonts w:eastAsia="等线" w:cs="等线"/>
                <w:color w:val="000000"/>
                <w:sz w:val="21"/>
                <w:szCs w:val="21"/>
              </w:rPr>
            </w:pPr>
          </w:p>
        </w:tc>
        <w:tc>
          <w:tcPr>
            <w:tcW w:w="1652" w:type="dxa"/>
            <w:gridSpan w:val="2"/>
            <w:tcBorders>
              <w:top w:val="single" w:color="auto" w:sz="4" w:space="0"/>
              <w:left w:val="single" w:color="auto" w:sz="4" w:space="0"/>
              <w:bottom w:val="single" w:color="auto" w:sz="4" w:space="0"/>
              <w:right w:val="single" w:color="auto" w:sz="4" w:space="0"/>
            </w:tcBorders>
            <w:vAlign w:val="center"/>
          </w:tcPr>
          <w:p w14:paraId="3D6C96AF">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679" w:type="dxa"/>
            <w:gridSpan w:val="8"/>
            <w:tcBorders>
              <w:top w:val="single" w:color="auto" w:sz="4" w:space="0"/>
              <w:left w:val="single" w:color="auto" w:sz="4" w:space="0"/>
              <w:bottom w:val="single" w:color="auto" w:sz="4" w:space="0"/>
              <w:right w:val="single" w:color="auto" w:sz="4" w:space="0"/>
            </w:tcBorders>
            <w:vAlign w:val="center"/>
          </w:tcPr>
          <w:p w14:paraId="09DD8AAC">
            <w:pPr>
              <w:spacing w:line="360" w:lineRule="exact"/>
              <w:jc w:val="center"/>
              <w:rPr>
                <w:rFonts w:eastAsia="等线" w:cs="等线"/>
                <w:b/>
                <w:color w:val="000000"/>
                <w:sz w:val="21"/>
                <w:szCs w:val="21"/>
              </w:rPr>
            </w:pPr>
            <w:r>
              <w:rPr>
                <w:rFonts w:hint="default" w:ascii="Times New Roman" w:hAnsi="Times New Roman" w:eastAsia="等线" w:cs="Times New Roman"/>
                <w:b w:val="0"/>
                <w:bCs w:val="0"/>
                <w:color w:val="000000"/>
                <w:spacing w:val="0"/>
                <w:w w:val="100"/>
                <w:sz w:val="21"/>
                <w:szCs w:val="21"/>
                <w:lang w:val="en-US" w:eastAsia="en-US"/>
              </w:rPr>
              <w:t>General Specification for Automatic Magnetic Flux Leakage Testing Robots for Storage Tank Floors</w:t>
            </w:r>
          </w:p>
        </w:tc>
      </w:tr>
      <w:tr w14:paraId="6FAC6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71" w:hRule="atLeast"/>
        </w:trPr>
        <w:tc>
          <w:tcPr>
            <w:tcW w:w="1688" w:type="dxa"/>
            <w:vMerge w:val="restart"/>
            <w:tcBorders>
              <w:top w:val="single" w:color="auto" w:sz="4" w:space="0"/>
              <w:left w:val="single" w:color="auto" w:sz="4" w:space="0"/>
              <w:bottom w:val="single" w:color="auto" w:sz="4" w:space="0"/>
              <w:right w:val="single" w:color="auto" w:sz="4" w:space="0"/>
            </w:tcBorders>
            <w:vAlign w:val="center"/>
          </w:tcPr>
          <w:p w14:paraId="747BC0F0">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652" w:type="dxa"/>
            <w:gridSpan w:val="2"/>
            <w:vMerge w:val="restart"/>
            <w:tcBorders>
              <w:top w:val="single" w:color="auto" w:sz="4" w:space="0"/>
              <w:left w:val="single" w:color="auto" w:sz="4" w:space="0"/>
              <w:bottom w:val="single" w:color="auto" w:sz="4" w:space="0"/>
              <w:right w:val="single" w:color="auto" w:sz="4" w:space="0"/>
            </w:tcBorders>
            <w:vAlign w:val="center"/>
          </w:tcPr>
          <w:p w14:paraId="4AA5B06C">
            <w:pPr>
              <w:jc w:val="left"/>
              <w:rPr>
                <w:rFonts w:eastAsia="等线" w:cs="等线"/>
                <w:color w:val="000000"/>
                <w:sz w:val="21"/>
                <w:szCs w:val="21"/>
              </w:rPr>
            </w:pPr>
            <w:r>
              <w:rPr>
                <w:rFonts w:hint="eastAsia" w:eastAsia="等线" w:cs="等线"/>
                <w:color w:val="000000"/>
                <w:sz w:val="21"/>
                <w:szCs w:val="21"/>
              </w:rPr>
              <w:t>□等同采用</w:t>
            </w:r>
          </w:p>
          <w:p w14:paraId="516DF52D">
            <w:pPr>
              <w:jc w:val="left"/>
              <w:rPr>
                <w:rFonts w:eastAsia="等线" w:cs="等线"/>
                <w:color w:val="000000"/>
                <w:sz w:val="21"/>
                <w:szCs w:val="21"/>
              </w:rPr>
            </w:pPr>
            <w:r>
              <w:rPr>
                <w:rFonts w:hint="eastAsia" w:eastAsia="等线" w:cs="等线"/>
                <w:color w:val="000000"/>
                <w:sz w:val="21"/>
                <w:szCs w:val="21"/>
              </w:rPr>
              <w:t>□修改采用</w:t>
            </w:r>
          </w:p>
          <w:p w14:paraId="0263A64E">
            <w:pPr>
              <w:jc w:val="left"/>
              <w:rPr>
                <w:rFonts w:eastAsia="等线" w:cs="等线"/>
                <w:color w:val="000000"/>
                <w:sz w:val="21"/>
                <w:szCs w:val="21"/>
              </w:rPr>
            </w:pPr>
            <w:r>
              <w:rPr>
                <w:rFonts w:hint="eastAsia" w:eastAsia="等线" w:cs="等线"/>
                <w:color w:val="000000"/>
                <w:sz w:val="21"/>
                <w:szCs w:val="21"/>
              </w:rPr>
              <w:t>□非等效采用</w:t>
            </w:r>
          </w:p>
          <w:p w14:paraId="43EFA17A">
            <w:pPr>
              <w:jc w:val="left"/>
              <w:rPr>
                <w:rFonts w:eastAsia="等线" w:cs="等线"/>
                <w:b/>
                <w:color w:val="000000"/>
                <w:sz w:val="21"/>
                <w:szCs w:val="21"/>
              </w:rPr>
            </w:pPr>
            <w:r>
              <w:rPr>
                <w:rFonts w:eastAsia="宋体"/>
                <w:snapToGrid w:val="0"/>
                <w:color w:val="000000"/>
                <w:kern w:val="0"/>
                <w:sz w:val="21"/>
                <w:szCs w:val="21"/>
              </w:rPr>
              <w:sym w:font="Wingdings 2" w:char="F052"/>
            </w:r>
            <w:r>
              <w:rPr>
                <w:rFonts w:hint="eastAsia" w:eastAsia="等线" w:cs="等线"/>
                <w:color w:val="000000"/>
                <w:sz w:val="21"/>
                <w:szCs w:val="21"/>
              </w:rPr>
              <w:t>未采用</w:t>
            </w:r>
          </w:p>
        </w:tc>
        <w:tc>
          <w:tcPr>
            <w:tcW w:w="1128" w:type="dxa"/>
            <w:gridSpan w:val="2"/>
            <w:tcBorders>
              <w:top w:val="single" w:color="auto" w:sz="4" w:space="0"/>
              <w:left w:val="single" w:color="auto" w:sz="4" w:space="0"/>
              <w:bottom w:val="single" w:color="auto" w:sz="4" w:space="0"/>
              <w:right w:val="single" w:color="auto" w:sz="4" w:space="0"/>
            </w:tcBorders>
            <w:vAlign w:val="center"/>
          </w:tcPr>
          <w:p w14:paraId="5B12A66E">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551" w:type="dxa"/>
            <w:gridSpan w:val="6"/>
            <w:tcBorders>
              <w:top w:val="single" w:color="auto" w:sz="4" w:space="0"/>
              <w:left w:val="single" w:color="auto" w:sz="4" w:space="0"/>
              <w:bottom w:val="single" w:color="auto" w:sz="4" w:space="0"/>
              <w:right w:val="single" w:color="auto" w:sz="4" w:space="0"/>
            </w:tcBorders>
            <w:vAlign w:val="center"/>
          </w:tcPr>
          <w:p w14:paraId="7587A406">
            <w:pPr>
              <w:spacing w:line="360" w:lineRule="exact"/>
              <w:jc w:val="center"/>
              <w:rPr>
                <w:rFonts w:eastAsia="等线" w:cs="等线"/>
                <w:b/>
                <w:color w:val="000000"/>
                <w:sz w:val="21"/>
                <w:szCs w:val="21"/>
              </w:rPr>
            </w:pPr>
          </w:p>
        </w:tc>
      </w:tr>
      <w:tr w14:paraId="4BD4F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71" w:hRule="atLeast"/>
        </w:trPr>
        <w:tc>
          <w:tcPr>
            <w:tcW w:w="1688" w:type="dxa"/>
            <w:vMerge w:val="continue"/>
            <w:tcBorders>
              <w:top w:val="single" w:color="auto" w:sz="4" w:space="0"/>
              <w:left w:val="single" w:color="auto" w:sz="4" w:space="0"/>
              <w:bottom w:val="single" w:color="auto" w:sz="4" w:space="0"/>
              <w:right w:val="single" w:color="auto" w:sz="4" w:space="0"/>
            </w:tcBorders>
            <w:vAlign w:val="center"/>
          </w:tcPr>
          <w:p w14:paraId="4308BF94">
            <w:pPr>
              <w:widowControl/>
              <w:jc w:val="left"/>
              <w:rPr>
                <w:rFonts w:eastAsia="等线" w:cs="等线"/>
                <w:color w:val="000000"/>
                <w:sz w:val="21"/>
                <w:szCs w:val="21"/>
              </w:rPr>
            </w:pPr>
          </w:p>
        </w:tc>
        <w:tc>
          <w:tcPr>
            <w:tcW w:w="1652" w:type="dxa"/>
            <w:gridSpan w:val="2"/>
            <w:vMerge w:val="continue"/>
            <w:tcBorders>
              <w:top w:val="single" w:color="auto" w:sz="4" w:space="0"/>
              <w:left w:val="single" w:color="auto" w:sz="4" w:space="0"/>
              <w:bottom w:val="single" w:color="auto" w:sz="4" w:space="0"/>
              <w:right w:val="single" w:color="auto" w:sz="4" w:space="0"/>
            </w:tcBorders>
            <w:vAlign w:val="center"/>
          </w:tcPr>
          <w:p w14:paraId="41AA6728">
            <w:pPr>
              <w:widowControl/>
              <w:jc w:val="left"/>
              <w:rPr>
                <w:rFonts w:eastAsia="等线" w:cs="等线"/>
                <w:b/>
                <w:color w:val="000000"/>
                <w:sz w:val="21"/>
                <w:szCs w:val="21"/>
              </w:rPr>
            </w:pPr>
          </w:p>
        </w:tc>
        <w:tc>
          <w:tcPr>
            <w:tcW w:w="1128" w:type="dxa"/>
            <w:gridSpan w:val="2"/>
            <w:tcBorders>
              <w:top w:val="single" w:color="auto" w:sz="4" w:space="0"/>
              <w:left w:val="single" w:color="auto" w:sz="4" w:space="0"/>
              <w:bottom w:val="single" w:color="auto" w:sz="4" w:space="0"/>
              <w:right w:val="single" w:color="auto" w:sz="4" w:space="0"/>
            </w:tcBorders>
            <w:vAlign w:val="center"/>
          </w:tcPr>
          <w:p w14:paraId="414453EE">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551" w:type="dxa"/>
            <w:gridSpan w:val="6"/>
            <w:tcBorders>
              <w:top w:val="single" w:color="auto" w:sz="4" w:space="0"/>
              <w:left w:val="single" w:color="auto" w:sz="4" w:space="0"/>
              <w:bottom w:val="single" w:color="auto" w:sz="4" w:space="0"/>
              <w:right w:val="single" w:color="auto" w:sz="4" w:space="0"/>
            </w:tcBorders>
            <w:vAlign w:val="center"/>
          </w:tcPr>
          <w:p w14:paraId="7554A89A">
            <w:pPr>
              <w:spacing w:line="360" w:lineRule="exact"/>
              <w:jc w:val="center"/>
              <w:rPr>
                <w:rFonts w:eastAsia="等线" w:cs="等线"/>
                <w:b/>
                <w:color w:val="000000"/>
                <w:sz w:val="21"/>
                <w:szCs w:val="21"/>
              </w:rPr>
            </w:pPr>
          </w:p>
        </w:tc>
      </w:tr>
      <w:tr w14:paraId="059DF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019" w:hRule="atLeast"/>
        </w:trPr>
        <w:tc>
          <w:tcPr>
            <w:tcW w:w="1688" w:type="dxa"/>
            <w:vMerge w:val="continue"/>
            <w:tcBorders>
              <w:top w:val="single" w:color="auto" w:sz="4" w:space="0"/>
              <w:left w:val="single" w:color="auto" w:sz="4" w:space="0"/>
              <w:bottom w:val="single" w:color="auto" w:sz="4" w:space="0"/>
              <w:right w:val="single" w:color="auto" w:sz="4" w:space="0"/>
            </w:tcBorders>
            <w:vAlign w:val="center"/>
          </w:tcPr>
          <w:p w14:paraId="4553016B">
            <w:pPr>
              <w:widowControl/>
              <w:jc w:val="left"/>
              <w:rPr>
                <w:rFonts w:eastAsia="等线" w:cs="等线"/>
                <w:color w:val="000000"/>
                <w:sz w:val="21"/>
                <w:szCs w:val="21"/>
              </w:rPr>
            </w:pPr>
          </w:p>
        </w:tc>
        <w:tc>
          <w:tcPr>
            <w:tcW w:w="1652" w:type="dxa"/>
            <w:gridSpan w:val="2"/>
            <w:vMerge w:val="continue"/>
            <w:tcBorders>
              <w:top w:val="single" w:color="auto" w:sz="4" w:space="0"/>
              <w:left w:val="single" w:color="auto" w:sz="4" w:space="0"/>
              <w:bottom w:val="single" w:color="auto" w:sz="4" w:space="0"/>
              <w:right w:val="single" w:color="auto" w:sz="4" w:space="0"/>
            </w:tcBorders>
            <w:vAlign w:val="center"/>
          </w:tcPr>
          <w:p w14:paraId="1C6A348C">
            <w:pPr>
              <w:widowControl/>
              <w:jc w:val="left"/>
              <w:rPr>
                <w:rFonts w:eastAsia="等线" w:cs="等线"/>
                <w:b/>
                <w:color w:val="000000"/>
                <w:sz w:val="21"/>
                <w:szCs w:val="21"/>
              </w:rPr>
            </w:pPr>
          </w:p>
        </w:tc>
        <w:tc>
          <w:tcPr>
            <w:tcW w:w="1128" w:type="dxa"/>
            <w:gridSpan w:val="2"/>
            <w:tcBorders>
              <w:top w:val="single" w:color="auto" w:sz="4" w:space="0"/>
              <w:left w:val="single" w:color="auto" w:sz="4" w:space="0"/>
              <w:bottom w:val="single" w:color="auto" w:sz="4" w:space="0"/>
              <w:right w:val="single" w:color="auto" w:sz="4" w:space="0"/>
            </w:tcBorders>
            <w:vAlign w:val="center"/>
          </w:tcPr>
          <w:p w14:paraId="316EAE0F">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551" w:type="dxa"/>
            <w:gridSpan w:val="6"/>
            <w:tcBorders>
              <w:top w:val="single" w:color="auto" w:sz="4" w:space="0"/>
              <w:left w:val="single" w:color="auto" w:sz="4" w:space="0"/>
              <w:bottom w:val="single" w:color="auto" w:sz="4" w:space="0"/>
              <w:right w:val="single" w:color="auto" w:sz="4" w:space="0"/>
            </w:tcBorders>
            <w:vAlign w:val="center"/>
          </w:tcPr>
          <w:p w14:paraId="7E184F0F">
            <w:pPr>
              <w:spacing w:line="360" w:lineRule="exact"/>
              <w:jc w:val="center"/>
              <w:rPr>
                <w:rFonts w:eastAsia="等线" w:cs="等线"/>
                <w:b/>
                <w:color w:val="000000"/>
                <w:sz w:val="21"/>
                <w:szCs w:val="21"/>
              </w:rPr>
            </w:pPr>
          </w:p>
        </w:tc>
      </w:tr>
      <w:tr w14:paraId="189DC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879" w:hRule="atLeast"/>
        </w:trPr>
        <w:tc>
          <w:tcPr>
            <w:tcW w:w="1688" w:type="dxa"/>
            <w:tcBorders>
              <w:top w:val="single" w:color="auto" w:sz="6" w:space="0"/>
              <w:left w:val="single" w:color="auto" w:sz="4" w:space="0"/>
              <w:bottom w:val="single" w:color="auto" w:sz="6" w:space="0"/>
              <w:right w:val="single" w:color="auto" w:sz="4" w:space="0"/>
            </w:tcBorders>
            <w:vAlign w:val="center"/>
          </w:tcPr>
          <w:p w14:paraId="18D73262">
            <w:pPr>
              <w:jc w:val="center"/>
              <w:rPr>
                <w:rFonts w:eastAsia="等线" w:cs="等线"/>
                <w:color w:val="000000"/>
                <w:sz w:val="21"/>
                <w:szCs w:val="21"/>
              </w:rPr>
            </w:pPr>
            <w:r>
              <w:rPr>
                <w:rFonts w:hint="eastAsia" w:eastAsia="等线" w:cs="等线"/>
                <w:color w:val="000000"/>
                <w:sz w:val="21"/>
                <w:szCs w:val="21"/>
              </w:rPr>
              <w:t>1.3 任务来源</w:t>
            </w:r>
          </w:p>
        </w:tc>
        <w:tc>
          <w:tcPr>
            <w:tcW w:w="1652" w:type="dxa"/>
            <w:gridSpan w:val="2"/>
            <w:tcBorders>
              <w:top w:val="single" w:color="auto" w:sz="6" w:space="0"/>
              <w:left w:val="single" w:color="auto" w:sz="4" w:space="0"/>
              <w:bottom w:val="single" w:color="auto" w:sz="6" w:space="0"/>
              <w:right w:val="single" w:color="auto" w:sz="4" w:space="0"/>
            </w:tcBorders>
            <w:vAlign w:val="center"/>
          </w:tcPr>
          <w:p w14:paraId="12B48750">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2469" w:type="dxa"/>
            <w:gridSpan w:val="5"/>
            <w:tcBorders>
              <w:top w:val="single" w:color="auto" w:sz="4" w:space="0"/>
              <w:left w:val="single" w:color="auto" w:sz="4" w:space="0"/>
              <w:bottom w:val="single" w:color="auto" w:sz="4" w:space="0"/>
              <w:right w:val="single" w:color="auto" w:sz="4" w:space="0"/>
            </w:tcBorders>
            <w:vAlign w:val="center"/>
          </w:tcPr>
          <w:p w14:paraId="32B7B3E6">
            <w:pPr>
              <w:jc w:val="center"/>
              <w:rPr>
                <w:rFonts w:eastAsia="等线" w:cs="等线"/>
                <w:color w:val="000000"/>
                <w:sz w:val="21"/>
                <w:szCs w:val="21"/>
              </w:rPr>
            </w:pPr>
            <w:r>
              <w:rPr>
                <w:rFonts w:hint="eastAsia" w:eastAsia="等线" w:cs="等线"/>
                <w:color w:val="000000"/>
                <w:sz w:val="21"/>
                <w:szCs w:val="21"/>
              </w:rPr>
              <w:t>市场监管总局关于下达202</w:t>
            </w:r>
            <w:r>
              <w:rPr>
                <w:rFonts w:hint="eastAsia" w:eastAsia="等线" w:cs="等线"/>
                <w:color w:val="000000"/>
                <w:sz w:val="21"/>
                <w:szCs w:val="21"/>
                <w:lang w:val="en-US" w:eastAsia="zh-CN"/>
              </w:rPr>
              <w:t>4</w:t>
            </w:r>
            <w:r>
              <w:rPr>
                <w:rFonts w:hint="eastAsia" w:eastAsia="等线" w:cs="等线"/>
                <w:color w:val="000000"/>
                <w:sz w:val="21"/>
                <w:szCs w:val="21"/>
              </w:rPr>
              <w:t>年度市场监管行业标准制订计划项目的通知》国市监办发〔202</w:t>
            </w:r>
            <w:r>
              <w:rPr>
                <w:rFonts w:hint="eastAsia" w:eastAsia="等线" w:cs="等线"/>
                <w:color w:val="000000"/>
                <w:sz w:val="21"/>
                <w:szCs w:val="21"/>
                <w:lang w:val="en-US" w:eastAsia="zh-CN"/>
              </w:rPr>
              <w:t>5</w:t>
            </w:r>
            <w:r>
              <w:rPr>
                <w:rFonts w:hint="eastAsia" w:eastAsia="等线" w:cs="等线"/>
                <w:color w:val="000000"/>
                <w:sz w:val="21"/>
                <w:szCs w:val="21"/>
              </w:rPr>
              <w:t>〕</w:t>
            </w:r>
            <w:r>
              <w:rPr>
                <w:rFonts w:hint="eastAsia" w:eastAsia="等线" w:cs="等线"/>
                <w:color w:val="000000"/>
                <w:sz w:val="21"/>
                <w:szCs w:val="21"/>
                <w:lang w:val="en-US" w:eastAsia="zh-CN"/>
              </w:rPr>
              <w:t>39</w:t>
            </w:r>
            <w:r>
              <w:rPr>
                <w:rFonts w:hint="eastAsia" w:eastAsia="等线" w:cs="等线"/>
                <w:color w:val="000000"/>
                <w:sz w:val="21"/>
                <w:szCs w:val="21"/>
              </w:rPr>
              <w:t>号</w:t>
            </w:r>
          </w:p>
        </w:tc>
        <w:tc>
          <w:tcPr>
            <w:tcW w:w="806" w:type="dxa"/>
            <w:tcBorders>
              <w:top w:val="single" w:color="auto" w:sz="4" w:space="0"/>
              <w:left w:val="single" w:color="auto" w:sz="4" w:space="0"/>
              <w:bottom w:val="single" w:color="auto" w:sz="4" w:space="0"/>
              <w:right w:val="single" w:color="auto" w:sz="4" w:space="0"/>
            </w:tcBorders>
            <w:vAlign w:val="center"/>
          </w:tcPr>
          <w:p w14:paraId="4C7D3BFF">
            <w:pPr>
              <w:jc w:val="center"/>
              <w:rPr>
                <w:rFonts w:eastAsia="等线" w:cs="等线"/>
                <w:color w:val="000000"/>
                <w:sz w:val="21"/>
                <w:szCs w:val="21"/>
              </w:rPr>
            </w:pPr>
            <w:r>
              <w:rPr>
                <w:rFonts w:hint="eastAsia" w:eastAsia="等线" w:cs="等线"/>
                <w:color w:val="000000"/>
                <w:sz w:val="21"/>
                <w:szCs w:val="21"/>
              </w:rPr>
              <w:t>计划编号</w:t>
            </w:r>
          </w:p>
        </w:tc>
        <w:tc>
          <w:tcPr>
            <w:tcW w:w="2404" w:type="dxa"/>
            <w:gridSpan w:val="2"/>
            <w:tcBorders>
              <w:top w:val="single" w:color="auto" w:sz="4" w:space="0"/>
              <w:left w:val="single" w:color="auto" w:sz="4" w:space="0"/>
              <w:bottom w:val="single" w:color="auto" w:sz="4" w:space="0"/>
              <w:right w:val="single" w:color="auto" w:sz="4" w:space="0"/>
            </w:tcBorders>
            <w:vAlign w:val="center"/>
          </w:tcPr>
          <w:p w14:paraId="7B737D60">
            <w:pPr>
              <w:jc w:val="center"/>
              <w:rPr>
                <w:rFonts w:eastAsia="等线" w:cs="等线"/>
                <w:color w:val="000000"/>
                <w:sz w:val="21"/>
                <w:szCs w:val="21"/>
              </w:rPr>
            </w:pPr>
            <w:r>
              <w:rPr>
                <w:rFonts w:hint="default" w:ascii="Times New Roman" w:hAnsi="Times New Roman" w:eastAsia="宋体" w:cs="Times New Roman"/>
                <w:sz w:val="21"/>
                <w:szCs w:val="21"/>
              </w:rPr>
              <w:t>2024MR0003</w:t>
            </w:r>
          </w:p>
        </w:tc>
      </w:tr>
      <w:tr w14:paraId="211EB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895" w:hRule="atLeast"/>
        </w:trPr>
        <w:tc>
          <w:tcPr>
            <w:tcW w:w="1688" w:type="dxa"/>
            <w:tcBorders>
              <w:top w:val="single" w:color="auto" w:sz="6" w:space="0"/>
              <w:left w:val="single" w:color="auto" w:sz="4" w:space="0"/>
              <w:bottom w:val="single" w:color="auto" w:sz="6" w:space="0"/>
              <w:right w:val="single" w:color="auto" w:sz="4" w:space="0"/>
            </w:tcBorders>
            <w:vAlign w:val="center"/>
          </w:tcPr>
          <w:p w14:paraId="76F320DF">
            <w:pPr>
              <w:jc w:val="center"/>
              <w:rPr>
                <w:rFonts w:eastAsia="等线" w:cs="等线"/>
                <w:color w:val="000000"/>
                <w:sz w:val="21"/>
                <w:szCs w:val="21"/>
              </w:rPr>
            </w:pPr>
            <w:r>
              <w:rPr>
                <w:rFonts w:hint="eastAsia" w:eastAsia="等线" w:cs="等线"/>
                <w:color w:val="000000"/>
                <w:sz w:val="21"/>
                <w:szCs w:val="21"/>
              </w:rPr>
              <w:t>1.4制（修）订</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6841030B">
            <w:pPr>
              <w:rPr>
                <w:rFonts w:eastAsia="等线" w:cs="等线"/>
                <w:color w:val="000000"/>
                <w:sz w:val="21"/>
                <w:szCs w:val="21"/>
              </w:rPr>
            </w:pPr>
            <w:r>
              <w:rPr>
                <w:rFonts w:eastAsia="宋体"/>
                <w:snapToGrid w:val="0"/>
                <w:color w:val="000000"/>
                <w:kern w:val="0"/>
                <w:sz w:val="21"/>
                <w:szCs w:val="21"/>
              </w:rPr>
              <w:sym w:font="Wingdings 2" w:char="F052"/>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14:paraId="476E8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563" w:hRule="atLeast"/>
        </w:trPr>
        <w:tc>
          <w:tcPr>
            <w:tcW w:w="1688" w:type="dxa"/>
            <w:tcBorders>
              <w:top w:val="single" w:color="auto" w:sz="6" w:space="0"/>
              <w:left w:val="single" w:color="auto" w:sz="4" w:space="0"/>
              <w:bottom w:val="single" w:color="auto" w:sz="6" w:space="0"/>
              <w:right w:val="single" w:color="auto" w:sz="4" w:space="0"/>
            </w:tcBorders>
            <w:vAlign w:val="center"/>
          </w:tcPr>
          <w:p w14:paraId="33419FB8">
            <w:pPr>
              <w:jc w:val="center"/>
              <w:rPr>
                <w:rFonts w:eastAsia="等线" w:cs="等线"/>
                <w:color w:val="000000"/>
                <w:sz w:val="21"/>
                <w:szCs w:val="21"/>
              </w:rPr>
            </w:pPr>
            <w:r>
              <w:rPr>
                <w:rFonts w:hint="eastAsia" w:eastAsia="等线" w:cs="等线"/>
                <w:color w:val="000000"/>
                <w:sz w:val="21"/>
                <w:szCs w:val="21"/>
              </w:rPr>
              <w:t>1.5 起止时间</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7799195A">
            <w:pPr>
              <w:jc w:val="center"/>
              <w:rPr>
                <w:rFonts w:eastAsia="等线" w:cs="等线"/>
                <w:color w:val="000000"/>
                <w:sz w:val="21"/>
                <w:szCs w:val="21"/>
              </w:rPr>
            </w:pPr>
            <w:r>
              <w:rPr>
                <w:rFonts w:hint="eastAsia" w:eastAsia="等线" w:cs="等线"/>
                <w:color w:val="000000"/>
                <w:sz w:val="21"/>
                <w:szCs w:val="21"/>
              </w:rPr>
              <w:t>202</w:t>
            </w:r>
            <w:r>
              <w:rPr>
                <w:rFonts w:hint="eastAsia" w:eastAsia="等线" w:cs="等线"/>
                <w:color w:val="000000"/>
                <w:sz w:val="21"/>
                <w:szCs w:val="21"/>
                <w:lang w:val="en-US" w:eastAsia="zh-CN"/>
              </w:rPr>
              <w:t>5</w:t>
            </w:r>
            <w:r>
              <w:rPr>
                <w:rFonts w:hint="eastAsia" w:eastAsia="等线" w:cs="等线"/>
                <w:color w:val="000000"/>
                <w:sz w:val="21"/>
                <w:szCs w:val="21"/>
              </w:rPr>
              <w:t xml:space="preserve"> 年</w:t>
            </w:r>
            <w:r>
              <w:rPr>
                <w:rFonts w:hint="eastAsia" w:eastAsia="等线" w:cs="等线"/>
                <w:color w:val="000000"/>
                <w:sz w:val="21"/>
                <w:szCs w:val="21"/>
                <w:lang w:val="en-US" w:eastAsia="zh-CN"/>
              </w:rPr>
              <w:t>6</w:t>
            </w:r>
            <w:r>
              <w:rPr>
                <w:rFonts w:hint="eastAsia" w:eastAsia="等线" w:cs="等线"/>
                <w:color w:val="000000"/>
                <w:sz w:val="21"/>
                <w:szCs w:val="21"/>
              </w:rPr>
              <w:t xml:space="preserve"> 月</w:t>
            </w:r>
            <w:r>
              <w:rPr>
                <w:rFonts w:hint="eastAsia" w:ascii="宋体" w:hAnsi="宋体" w:eastAsia="宋体" w:cs="宋体"/>
                <w:color w:val="000000"/>
                <w:sz w:val="21"/>
                <w:szCs w:val="21"/>
              </w:rPr>
              <w:t>—</w:t>
            </w:r>
            <w:r>
              <w:rPr>
                <w:rFonts w:hint="eastAsia" w:eastAsia="等线" w:cs="等线"/>
                <w:color w:val="000000"/>
                <w:sz w:val="21"/>
                <w:szCs w:val="21"/>
              </w:rPr>
              <w:t>202</w:t>
            </w:r>
            <w:r>
              <w:rPr>
                <w:rFonts w:hint="eastAsia" w:eastAsia="等线" w:cs="等线"/>
                <w:color w:val="000000"/>
                <w:sz w:val="21"/>
                <w:szCs w:val="21"/>
                <w:lang w:val="en-US" w:eastAsia="zh-CN"/>
              </w:rPr>
              <w:t>7</w:t>
            </w:r>
            <w:r>
              <w:rPr>
                <w:rFonts w:hint="eastAsia" w:eastAsia="等线" w:cs="等线"/>
                <w:color w:val="000000"/>
                <w:sz w:val="21"/>
                <w:szCs w:val="21"/>
              </w:rPr>
              <w:t xml:space="preserve"> 年 2 月</w:t>
            </w:r>
          </w:p>
        </w:tc>
      </w:tr>
      <w:tr w14:paraId="64B8F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513" w:hRule="atLeast"/>
        </w:trPr>
        <w:tc>
          <w:tcPr>
            <w:tcW w:w="1688" w:type="dxa"/>
            <w:tcBorders>
              <w:top w:val="single" w:color="auto" w:sz="6" w:space="0"/>
              <w:left w:val="single" w:color="auto" w:sz="4" w:space="0"/>
              <w:bottom w:val="single" w:color="auto" w:sz="6" w:space="0"/>
              <w:right w:val="single" w:color="auto" w:sz="4" w:space="0"/>
            </w:tcBorders>
            <w:vAlign w:val="center"/>
          </w:tcPr>
          <w:p w14:paraId="75E8ECDB">
            <w:pPr>
              <w:jc w:val="center"/>
              <w:rPr>
                <w:rFonts w:eastAsia="等线" w:cs="等线"/>
                <w:color w:val="000000"/>
                <w:sz w:val="21"/>
                <w:szCs w:val="21"/>
              </w:rPr>
            </w:pPr>
            <w:r>
              <w:rPr>
                <w:rFonts w:hint="eastAsia" w:eastAsia="等线" w:cs="等线"/>
                <w:color w:val="000000"/>
                <w:sz w:val="21"/>
                <w:szCs w:val="21"/>
              </w:rPr>
              <w:t>1.6 标准起草单位</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03D38599">
            <w:pPr>
              <w:jc w:val="left"/>
              <w:rPr>
                <w:rFonts w:hint="eastAsia" w:eastAsia="宋体" w:cs="等线"/>
                <w:color w:val="000000"/>
                <w:sz w:val="21"/>
                <w:szCs w:val="21"/>
                <w:lang w:eastAsia="zh-CN"/>
              </w:rPr>
            </w:pPr>
            <w:r>
              <w:rPr>
                <w:rFonts w:hint="eastAsia" w:eastAsia="宋体"/>
                <w:color w:val="000000"/>
                <w:sz w:val="21"/>
                <w:szCs w:val="21"/>
              </w:rPr>
              <w:t>广东省特种设备检测研究院顺德检测院</w:t>
            </w:r>
            <w:r>
              <w:rPr>
                <w:rFonts w:hint="eastAsia" w:eastAsia="宋体"/>
                <w:color w:val="000000"/>
                <w:sz w:val="21"/>
                <w:szCs w:val="21"/>
                <w:lang w:eastAsia="zh-CN"/>
              </w:rPr>
              <w:t>、江苏省特种设备安全监督检验研究院、中石化管道技术服务有限公司</w:t>
            </w:r>
            <w:r>
              <w:rPr>
                <w:rFonts w:hint="eastAsia" w:eastAsia="宋体"/>
                <w:color w:val="000000"/>
                <w:sz w:val="21"/>
                <w:szCs w:val="21"/>
                <w:highlight w:val="none"/>
                <w:lang w:eastAsia="zh-CN"/>
              </w:rPr>
              <w:t>、浙江省特种设备科学</w:t>
            </w:r>
            <w:r>
              <w:rPr>
                <w:rFonts w:hint="eastAsia" w:eastAsia="宋体"/>
                <w:color w:val="000000"/>
                <w:sz w:val="21"/>
                <w:szCs w:val="21"/>
                <w:highlight w:val="none"/>
                <w:lang w:val="en-US" w:eastAsia="zh-CN"/>
              </w:rPr>
              <w:t>研究院</w:t>
            </w:r>
            <w:r>
              <w:rPr>
                <w:rFonts w:hint="eastAsia" w:eastAsia="宋体"/>
                <w:color w:val="000000"/>
                <w:sz w:val="21"/>
                <w:szCs w:val="21"/>
                <w:lang w:eastAsia="zh-CN"/>
              </w:rPr>
              <w:t>、广东省特种设备检测研究院、武汉工程大学、西红柿科技（武汉）有限公司、中石化工程质量监测有限公司、江西省检验检测认证总院特种设备检验检测研究院、宁波市特种设备检验研究院、广东省特种设备检测研究院</w:t>
            </w:r>
            <w:r>
              <w:rPr>
                <w:rFonts w:hint="eastAsia" w:eastAsia="宋体"/>
                <w:color w:val="000000"/>
                <w:sz w:val="21"/>
                <w:szCs w:val="21"/>
                <w:lang w:val="en-US" w:eastAsia="zh-CN"/>
              </w:rPr>
              <w:t>阳江</w:t>
            </w:r>
            <w:r>
              <w:rPr>
                <w:rFonts w:hint="eastAsia" w:eastAsia="宋体"/>
                <w:color w:val="000000"/>
                <w:sz w:val="21"/>
                <w:szCs w:val="21"/>
                <w:lang w:eastAsia="zh-CN"/>
              </w:rPr>
              <w:t>检测院、西安特种设备检验检测院、武汉华宇一目检测装备有限公司、深圳市中昌探伤器材有限公司、安徽华夏高科技开发有限责任公司、福建省特种设备检验研究院、洛阳百克特科技发展股份有限公司、广州声华科技股份有限公司、绍兴市特种设备检测院、新疆生产建设兵团第一师锅炉压力容器检验所、新疆生产建设兵团质量技术评价中心</w:t>
            </w:r>
          </w:p>
        </w:tc>
      </w:tr>
      <w:tr w14:paraId="74116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642" w:hRule="atLeast"/>
        </w:trPr>
        <w:tc>
          <w:tcPr>
            <w:tcW w:w="1688" w:type="dxa"/>
            <w:tcBorders>
              <w:top w:val="single" w:color="auto" w:sz="6" w:space="0"/>
              <w:left w:val="single" w:color="auto" w:sz="4" w:space="0"/>
              <w:bottom w:val="single" w:color="auto" w:sz="6" w:space="0"/>
              <w:right w:val="single" w:color="auto" w:sz="4" w:space="0"/>
            </w:tcBorders>
            <w:vAlign w:val="center"/>
          </w:tcPr>
          <w:p w14:paraId="261F7BA4">
            <w:pPr>
              <w:jc w:val="center"/>
              <w:rPr>
                <w:rFonts w:eastAsia="等线" w:cs="等线"/>
                <w:color w:val="000000"/>
                <w:sz w:val="21"/>
                <w:szCs w:val="21"/>
              </w:rPr>
            </w:pPr>
            <w:r>
              <w:rPr>
                <w:rFonts w:hint="eastAsia" w:eastAsia="等线" w:cs="等线"/>
                <w:color w:val="000000"/>
                <w:sz w:val="21"/>
                <w:szCs w:val="21"/>
              </w:rPr>
              <w:t>1.7 起草团队</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20D70617">
            <w:pPr>
              <w:jc w:val="left"/>
              <w:rPr>
                <w:rFonts w:hint="eastAsia" w:eastAsia="等线" w:cs="等线"/>
                <w:color w:val="000000"/>
                <w:sz w:val="21"/>
                <w:szCs w:val="21"/>
                <w:lang w:val="en-US" w:eastAsia="zh-CN"/>
              </w:rPr>
            </w:pPr>
            <w:r>
              <w:rPr>
                <w:rFonts w:hint="eastAsia" w:eastAsia="宋体"/>
                <w:color w:val="000000"/>
                <w:sz w:val="21"/>
                <w:szCs w:val="21"/>
                <w:lang w:eastAsia="zh-CN"/>
              </w:rPr>
              <w:t>张炳雷、江志铭、蒋利伟、许皆乐、卢永雄、吴  军、许  波、</w:t>
            </w:r>
            <w:r>
              <w:rPr>
                <w:rFonts w:hint="eastAsia" w:eastAsia="宋体"/>
                <w:color w:val="000000"/>
                <w:sz w:val="21"/>
                <w:szCs w:val="21"/>
                <w:lang w:val="en-US" w:eastAsia="zh-CN"/>
              </w:rPr>
              <w:t>康宜华</w:t>
            </w:r>
            <w:r>
              <w:rPr>
                <w:rFonts w:hint="eastAsia" w:eastAsia="宋体"/>
                <w:color w:val="000000"/>
                <w:sz w:val="21"/>
                <w:szCs w:val="21"/>
                <w:lang w:eastAsia="zh-CN"/>
              </w:rPr>
              <w:t>、王泽浩、</w:t>
            </w:r>
            <w:r>
              <w:rPr>
                <w:rFonts w:hint="eastAsia" w:eastAsia="宋体"/>
                <w:color w:val="000000"/>
                <w:sz w:val="21"/>
                <w:szCs w:val="21"/>
                <w:highlight w:val="none"/>
                <w:lang w:eastAsia="zh-CN"/>
              </w:rPr>
              <w:t>王  康、吴士强、刘  瑾、田亚团、汤文斌、胡华胜、王  磊、郭艳伟、唐经源、陈文明、刘  伟、曾健生、李  寰、</w:t>
            </w:r>
            <w:r>
              <w:rPr>
                <w:rFonts w:hint="eastAsia" w:eastAsia="宋体"/>
                <w:color w:val="000000"/>
                <w:sz w:val="21"/>
                <w:szCs w:val="21"/>
                <w:highlight w:val="none"/>
                <w:lang w:val="en-US" w:eastAsia="zh-CN"/>
              </w:rPr>
              <w:t>郭泽锐、</w:t>
            </w:r>
            <w:r>
              <w:rPr>
                <w:rFonts w:hint="eastAsia" w:eastAsia="宋体"/>
                <w:color w:val="000000"/>
                <w:sz w:val="21"/>
                <w:szCs w:val="21"/>
                <w:highlight w:val="none"/>
                <w:lang w:eastAsia="zh-CN"/>
              </w:rPr>
              <w:t>杨  旭、余仁辉、刘金娥、谢知伟</w:t>
            </w:r>
            <w:bookmarkStart w:id="5" w:name="_GoBack"/>
            <w:bookmarkEnd w:id="5"/>
            <w:r>
              <w:rPr>
                <w:rFonts w:hint="eastAsia" w:eastAsia="宋体"/>
                <w:color w:val="000000"/>
                <w:sz w:val="21"/>
                <w:szCs w:val="21"/>
                <w:highlight w:val="none"/>
                <w:lang w:eastAsia="zh-CN"/>
              </w:rPr>
              <w:t>、程  飞、周  朋、刘亮岐、夏舞艳、龚</w:t>
            </w:r>
            <w:r>
              <w:rPr>
                <w:rFonts w:hint="eastAsia" w:eastAsia="宋体"/>
                <w:color w:val="000000"/>
                <w:sz w:val="21"/>
                <w:szCs w:val="21"/>
                <w:highlight w:val="none"/>
                <w:lang w:val="en-US" w:eastAsia="zh-CN"/>
              </w:rPr>
              <w:t xml:space="preserve">  </w:t>
            </w:r>
            <w:r>
              <w:rPr>
                <w:rFonts w:hint="eastAsia" w:eastAsia="宋体"/>
                <w:color w:val="000000"/>
                <w:sz w:val="21"/>
                <w:szCs w:val="21"/>
                <w:highlight w:val="none"/>
                <w:lang w:eastAsia="zh-CN"/>
              </w:rPr>
              <w:t>华、陈  超、张伟龙、罗  杰</w:t>
            </w:r>
            <w:r>
              <w:rPr>
                <w:rFonts w:hint="eastAsia" w:eastAsia="宋体"/>
                <w:color w:val="000000"/>
                <w:sz w:val="21"/>
                <w:szCs w:val="21"/>
                <w:highlight w:val="none"/>
                <w:lang w:val="en-US" w:eastAsia="zh-CN"/>
              </w:rPr>
              <w:t xml:space="preserve"> </w:t>
            </w:r>
          </w:p>
        </w:tc>
      </w:tr>
      <w:tr w14:paraId="1009B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567" w:hRule="atLeast"/>
        </w:trPr>
        <w:tc>
          <w:tcPr>
            <w:tcW w:w="1688" w:type="dxa"/>
            <w:tcBorders>
              <w:top w:val="single" w:color="auto" w:sz="6" w:space="0"/>
              <w:left w:val="single" w:color="auto" w:sz="4" w:space="0"/>
              <w:bottom w:val="single" w:color="auto" w:sz="6" w:space="0"/>
              <w:right w:val="single" w:color="auto" w:sz="4" w:space="0"/>
            </w:tcBorders>
            <w:vAlign w:val="center"/>
          </w:tcPr>
          <w:p w14:paraId="5B929877">
            <w:pPr>
              <w:jc w:val="center"/>
              <w:rPr>
                <w:rFonts w:eastAsia="等线" w:cs="等线"/>
                <w:color w:val="000000"/>
                <w:sz w:val="21"/>
                <w:szCs w:val="21"/>
              </w:rPr>
            </w:pPr>
            <w:r>
              <w:rPr>
                <w:rFonts w:hint="eastAsia" w:eastAsia="等线" w:cs="等线"/>
                <w:color w:val="000000"/>
                <w:sz w:val="21"/>
                <w:szCs w:val="21"/>
              </w:rPr>
              <w:t>1.8 标准体系表内编号</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21F00558">
            <w:pPr>
              <w:jc w:val="center"/>
              <w:rPr>
                <w:rFonts w:eastAsia="等线" w:cs="等线"/>
                <w:color w:val="000000"/>
                <w:sz w:val="21"/>
                <w:szCs w:val="21"/>
              </w:rPr>
            </w:pPr>
          </w:p>
        </w:tc>
      </w:tr>
      <w:tr w14:paraId="6C3C1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701" w:hRule="atLeast"/>
        </w:trPr>
        <w:tc>
          <w:tcPr>
            <w:tcW w:w="1688" w:type="dxa"/>
            <w:tcBorders>
              <w:top w:val="single" w:color="auto" w:sz="6" w:space="0"/>
              <w:left w:val="single" w:color="auto" w:sz="4" w:space="0"/>
              <w:bottom w:val="single" w:color="auto" w:sz="6" w:space="0"/>
              <w:right w:val="single" w:color="auto" w:sz="4" w:space="0"/>
            </w:tcBorders>
            <w:vAlign w:val="center"/>
          </w:tcPr>
          <w:p w14:paraId="60565FD5">
            <w:pPr>
              <w:jc w:val="center"/>
              <w:rPr>
                <w:rFonts w:eastAsia="等线" w:cs="等线"/>
                <w:color w:val="000000"/>
                <w:sz w:val="21"/>
                <w:szCs w:val="21"/>
              </w:rPr>
            </w:pPr>
            <w:r>
              <w:rPr>
                <w:rFonts w:hint="eastAsia" w:eastAsia="等线" w:cs="等线"/>
                <w:color w:val="000000"/>
                <w:sz w:val="21"/>
                <w:szCs w:val="21"/>
              </w:rPr>
              <w:t>1.9调整情况</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6CA760DE">
            <w:pPr>
              <w:jc w:val="left"/>
              <w:rPr>
                <w:rFonts w:hint="eastAsia" w:eastAsia="宋体"/>
                <w:color w:val="000000"/>
                <w:sz w:val="21"/>
                <w:szCs w:val="21"/>
                <w:lang w:val="en-US" w:eastAsia="zh-CN"/>
              </w:rPr>
            </w:pPr>
            <w:r>
              <w:rPr>
                <w:rFonts w:hint="eastAsia" w:eastAsia="宋体"/>
                <w:color w:val="000000"/>
                <w:sz w:val="21"/>
                <w:szCs w:val="21"/>
                <w:lang w:val="en-US" w:eastAsia="zh-CN"/>
              </w:rPr>
              <w:t>增加：</w:t>
            </w:r>
          </w:p>
          <w:p w14:paraId="6A2C359D">
            <w:pPr>
              <w:jc w:val="left"/>
              <w:rPr>
                <w:rFonts w:hint="eastAsia" w:eastAsia="宋体"/>
                <w:color w:val="000000"/>
                <w:sz w:val="21"/>
                <w:szCs w:val="21"/>
                <w:lang w:val="en-US" w:eastAsia="zh-CN"/>
              </w:rPr>
            </w:pPr>
            <w:r>
              <w:rPr>
                <w:rFonts w:hint="eastAsia" w:eastAsia="宋体"/>
                <w:color w:val="000000"/>
                <w:sz w:val="21"/>
                <w:szCs w:val="21"/>
                <w:lang w:val="en-US" w:eastAsia="zh-CN"/>
              </w:rPr>
              <w:t>起草单位：</w:t>
            </w:r>
            <w:r>
              <w:rPr>
                <w:rFonts w:hint="eastAsia" w:eastAsia="宋体"/>
                <w:color w:val="000000"/>
                <w:sz w:val="21"/>
                <w:szCs w:val="21"/>
                <w:lang w:eastAsia="zh-CN"/>
              </w:rPr>
              <w:t>江西省检验检测认证总院特种设备检验检测研究院，广东省特种设备检测研究院</w:t>
            </w:r>
            <w:r>
              <w:rPr>
                <w:rFonts w:hint="eastAsia" w:eastAsia="宋体"/>
                <w:color w:val="000000"/>
                <w:sz w:val="21"/>
                <w:szCs w:val="21"/>
                <w:lang w:val="en-US" w:eastAsia="zh-CN"/>
              </w:rPr>
              <w:t>阳江</w:t>
            </w:r>
            <w:r>
              <w:rPr>
                <w:rFonts w:hint="eastAsia" w:eastAsia="宋体"/>
                <w:color w:val="000000"/>
                <w:sz w:val="21"/>
                <w:szCs w:val="21"/>
                <w:lang w:eastAsia="zh-CN"/>
              </w:rPr>
              <w:t>检测院</w:t>
            </w:r>
          </w:p>
          <w:p w14:paraId="14CD69E7">
            <w:pPr>
              <w:jc w:val="left"/>
              <w:rPr>
                <w:rFonts w:hint="eastAsia" w:eastAsia="宋体"/>
                <w:color w:val="000000"/>
                <w:sz w:val="21"/>
                <w:szCs w:val="21"/>
                <w:lang w:eastAsia="zh-CN"/>
              </w:rPr>
            </w:pPr>
            <w:r>
              <w:rPr>
                <w:rFonts w:hint="eastAsia" w:eastAsia="宋体"/>
                <w:color w:val="000000"/>
                <w:sz w:val="21"/>
                <w:szCs w:val="21"/>
                <w:lang w:val="en-US" w:eastAsia="zh-CN"/>
              </w:rPr>
              <w:t>起草人员：</w:t>
            </w:r>
            <w:r>
              <w:rPr>
                <w:rFonts w:hint="eastAsia" w:eastAsia="宋体"/>
                <w:color w:val="000000"/>
                <w:sz w:val="21"/>
                <w:szCs w:val="21"/>
                <w:lang w:eastAsia="zh-CN"/>
              </w:rPr>
              <w:t>汤文斌、刘  伟</w:t>
            </w:r>
            <w:r>
              <w:rPr>
                <w:rFonts w:hint="eastAsia" w:eastAsia="宋体"/>
                <w:color w:val="000000"/>
                <w:sz w:val="21"/>
                <w:szCs w:val="21"/>
                <w:lang w:val="en-US" w:eastAsia="zh-CN"/>
              </w:rPr>
              <w:t>、</w:t>
            </w:r>
            <w:r>
              <w:rPr>
                <w:rFonts w:hint="eastAsia" w:eastAsia="宋体"/>
                <w:color w:val="000000"/>
                <w:sz w:val="21"/>
                <w:szCs w:val="21"/>
                <w:lang w:eastAsia="zh-CN"/>
              </w:rPr>
              <w:t>陈文明、刘亮岐</w:t>
            </w:r>
          </w:p>
          <w:p w14:paraId="708D5EEC">
            <w:pPr>
              <w:ind w:firstLine="1050" w:firstLineChars="500"/>
              <w:jc w:val="left"/>
              <w:rPr>
                <w:rFonts w:hint="default" w:eastAsia="等线" w:cs="等线"/>
                <w:color w:val="000000"/>
                <w:sz w:val="21"/>
                <w:szCs w:val="21"/>
                <w:lang w:val="en-US" w:eastAsia="zh-CN"/>
              </w:rPr>
            </w:pPr>
            <w:r>
              <w:rPr>
                <w:rFonts w:hint="eastAsia" w:eastAsia="宋体"/>
                <w:color w:val="000000"/>
                <w:sz w:val="21"/>
                <w:szCs w:val="21"/>
                <w:lang w:val="en-US" w:eastAsia="zh-CN"/>
              </w:rPr>
              <w:t>蒋利伟（江苏院）、郭泽锐（广东院）、龚 华（西红柿科技）</w:t>
            </w:r>
          </w:p>
        </w:tc>
      </w:tr>
      <w:tr w14:paraId="091B5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4"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57C3AEF2">
            <w:pPr>
              <w:jc w:val="left"/>
              <w:rPr>
                <w:rFonts w:eastAsia="等线" w:cs="等线"/>
                <w:color w:val="000000"/>
                <w:sz w:val="21"/>
                <w:szCs w:val="21"/>
              </w:rPr>
            </w:pPr>
            <w:r>
              <w:rPr>
                <w:rFonts w:hint="eastAsia" w:eastAsia="等线" w:cs="等线"/>
                <w:b/>
                <w:color w:val="000000"/>
                <w:sz w:val="21"/>
                <w:szCs w:val="21"/>
              </w:rPr>
              <w:t>2、背景情况</w:t>
            </w:r>
          </w:p>
        </w:tc>
      </w:tr>
      <w:tr w14:paraId="3D219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904" w:hRule="atLeast"/>
        </w:trPr>
        <w:tc>
          <w:tcPr>
            <w:tcW w:w="1688" w:type="dxa"/>
            <w:tcBorders>
              <w:top w:val="single" w:color="auto" w:sz="6" w:space="0"/>
              <w:left w:val="single" w:color="auto" w:sz="4" w:space="0"/>
              <w:bottom w:val="single" w:color="auto" w:sz="6" w:space="0"/>
              <w:right w:val="single" w:color="auto" w:sz="4" w:space="0"/>
            </w:tcBorders>
            <w:vAlign w:val="center"/>
          </w:tcPr>
          <w:p w14:paraId="78F2DE93">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14:paraId="1851A72A">
            <w:pPr>
              <w:jc w:val="center"/>
              <w:rPr>
                <w:rFonts w:eastAsia="等线" w:cs="等线"/>
                <w:b/>
                <w:color w:val="000000"/>
                <w:sz w:val="21"/>
                <w:szCs w:val="21"/>
              </w:rPr>
            </w:pPr>
            <w:r>
              <w:rPr>
                <w:rFonts w:hint="eastAsia" w:eastAsia="等线" w:cs="等线"/>
                <w:color w:val="000000"/>
                <w:sz w:val="21"/>
                <w:szCs w:val="21"/>
              </w:rPr>
              <w:t>（工作开展背景及要求）</w:t>
            </w:r>
          </w:p>
        </w:tc>
        <w:tc>
          <w:tcPr>
            <w:tcW w:w="7331" w:type="dxa"/>
            <w:gridSpan w:val="10"/>
            <w:tcBorders>
              <w:top w:val="single" w:color="auto" w:sz="6" w:space="0"/>
              <w:left w:val="single" w:color="auto" w:sz="4" w:space="0"/>
              <w:bottom w:val="single" w:color="auto" w:sz="6" w:space="0"/>
              <w:right w:val="single" w:color="auto" w:sz="4" w:space="0"/>
            </w:tcBorders>
          </w:tcPr>
          <w:p w14:paraId="10DAB264">
            <w:pPr>
              <w:ind w:firstLine="420" w:firstLineChars="200"/>
              <w:rPr>
                <w:rFonts w:hint="eastAsia" w:eastAsia="宋体"/>
                <w:color w:val="000000"/>
                <w:sz w:val="21"/>
                <w:szCs w:val="21"/>
              </w:rPr>
            </w:pPr>
            <w:r>
              <w:rPr>
                <w:rFonts w:hint="eastAsia" w:eastAsia="宋体"/>
                <w:color w:val="000000"/>
                <w:sz w:val="21"/>
                <w:szCs w:val="21"/>
              </w:rPr>
              <w:t>在大型油库</w:t>
            </w:r>
            <w:r>
              <w:rPr>
                <w:rFonts w:hint="eastAsia" w:eastAsia="宋体"/>
                <w:color w:val="000000"/>
                <w:sz w:val="21"/>
                <w:szCs w:val="21"/>
                <w:lang w:eastAsia="zh-CN"/>
              </w:rPr>
              <w:t>、</w:t>
            </w:r>
            <w:r>
              <w:rPr>
                <w:rFonts w:hint="eastAsia" w:eastAsia="宋体"/>
                <w:color w:val="000000"/>
                <w:sz w:val="21"/>
                <w:szCs w:val="21"/>
              </w:rPr>
              <w:t>港口及石油化工企业中</w:t>
            </w:r>
            <w:r>
              <w:rPr>
                <w:rFonts w:hint="eastAsia" w:eastAsia="宋体"/>
                <w:color w:val="000000"/>
                <w:sz w:val="21"/>
                <w:szCs w:val="21"/>
                <w:lang w:eastAsia="zh-CN"/>
              </w:rPr>
              <w:t>，</w:t>
            </w:r>
            <w:r>
              <w:rPr>
                <w:rFonts w:hint="eastAsia" w:eastAsia="宋体"/>
                <w:color w:val="000000"/>
                <w:sz w:val="21"/>
                <w:szCs w:val="21"/>
              </w:rPr>
              <w:t>储罐是储存液态原料与中间产品的核心基础设备。储罐安全稳定运行</w:t>
            </w:r>
            <w:r>
              <w:rPr>
                <w:rFonts w:hint="eastAsia" w:eastAsia="宋体"/>
                <w:color w:val="000000"/>
                <w:sz w:val="21"/>
                <w:szCs w:val="21"/>
                <w:lang w:eastAsia="zh-CN"/>
              </w:rPr>
              <w:t>，</w:t>
            </w:r>
            <w:r>
              <w:rPr>
                <w:rFonts w:hint="eastAsia" w:eastAsia="宋体"/>
                <w:color w:val="000000"/>
                <w:sz w:val="21"/>
                <w:szCs w:val="21"/>
              </w:rPr>
              <w:t>不仅事关石油化工连续正常生产</w:t>
            </w:r>
            <w:r>
              <w:rPr>
                <w:rFonts w:hint="eastAsia" w:eastAsia="宋体"/>
                <w:color w:val="000000"/>
                <w:sz w:val="21"/>
                <w:szCs w:val="21"/>
                <w:lang w:eastAsia="zh-CN"/>
              </w:rPr>
              <w:t>，</w:t>
            </w:r>
            <w:r>
              <w:rPr>
                <w:rFonts w:hint="eastAsia" w:eastAsia="宋体"/>
                <w:color w:val="000000"/>
                <w:sz w:val="21"/>
                <w:szCs w:val="21"/>
              </w:rPr>
              <w:t>更与社会民生、公共安全及国民经济发展密切相关。因此</w:t>
            </w:r>
            <w:r>
              <w:rPr>
                <w:rFonts w:hint="eastAsia" w:eastAsia="宋体"/>
                <w:color w:val="000000"/>
                <w:sz w:val="21"/>
                <w:szCs w:val="21"/>
                <w:lang w:eastAsia="zh-CN"/>
              </w:rPr>
              <w:t>，</w:t>
            </w:r>
            <w:r>
              <w:rPr>
                <w:rFonts w:hint="eastAsia" w:eastAsia="宋体"/>
                <w:color w:val="000000"/>
                <w:sz w:val="21"/>
                <w:szCs w:val="21"/>
              </w:rPr>
              <w:t>强化储罐质量监测能力、提升检测作业效率，已成为保障储罐长期安全平稳运行的关键举措。</w:t>
            </w:r>
          </w:p>
          <w:p w14:paraId="0E86040B">
            <w:pPr>
              <w:ind w:firstLine="420" w:firstLineChars="200"/>
              <w:rPr>
                <w:rFonts w:hint="eastAsia" w:eastAsia="宋体"/>
                <w:color w:val="000000"/>
                <w:sz w:val="21"/>
                <w:szCs w:val="21"/>
              </w:rPr>
            </w:pPr>
            <w:r>
              <w:rPr>
                <w:rFonts w:hint="eastAsia" w:eastAsia="宋体"/>
                <w:color w:val="000000"/>
                <w:sz w:val="21"/>
                <w:szCs w:val="21"/>
              </w:rPr>
              <w:t>储罐一旦发生介质泄漏</w:t>
            </w:r>
            <w:r>
              <w:rPr>
                <w:rFonts w:hint="eastAsia" w:eastAsia="宋体"/>
                <w:color w:val="000000"/>
                <w:sz w:val="21"/>
                <w:szCs w:val="21"/>
                <w:lang w:eastAsia="zh-CN"/>
              </w:rPr>
              <w:t>，</w:t>
            </w:r>
            <w:r>
              <w:rPr>
                <w:rFonts w:hint="eastAsia" w:eastAsia="宋体"/>
                <w:color w:val="000000"/>
                <w:sz w:val="21"/>
                <w:szCs w:val="21"/>
              </w:rPr>
              <w:t>不仅会造成巨大经济损失、引发周边生态环境污染，更极易诱发火灾、爆炸等重特大安全事故</w:t>
            </w:r>
            <w:r>
              <w:rPr>
                <w:rFonts w:hint="eastAsia" w:eastAsia="宋体"/>
                <w:color w:val="000000"/>
                <w:sz w:val="21"/>
                <w:szCs w:val="21"/>
                <w:lang w:eastAsia="zh-CN"/>
              </w:rPr>
              <w:t>，</w:t>
            </w:r>
            <w:r>
              <w:rPr>
                <w:rFonts w:hint="eastAsia" w:eastAsia="宋体"/>
                <w:color w:val="000000"/>
                <w:sz w:val="21"/>
                <w:szCs w:val="21"/>
              </w:rPr>
              <w:t>直接威胁人民群众生命财产安全。鉴于储罐腐蚀是引发泄漏事故的主要诱因之一，行业主管部门高度重视储罐腐蚀防控工作，各使用单位均按要求开展储罐定期检验检测。</w:t>
            </w:r>
          </w:p>
          <w:p w14:paraId="6F2D1D83">
            <w:pPr>
              <w:ind w:firstLine="420" w:firstLineChars="200"/>
              <w:rPr>
                <w:rFonts w:hint="eastAsia" w:eastAsia="宋体"/>
                <w:color w:val="000000"/>
                <w:sz w:val="21"/>
                <w:szCs w:val="21"/>
              </w:rPr>
            </w:pPr>
            <w:r>
              <w:rPr>
                <w:rFonts w:hint="eastAsia" w:eastAsia="宋体"/>
                <w:color w:val="000000"/>
                <w:sz w:val="21"/>
                <w:szCs w:val="21"/>
              </w:rPr>
              <w:t>《交通运输部关于江苏省开展品质工程建设等交通强国建设试点工作的意见》明确提出，要建立重大危险源智能在线监测预警体系，健全储罐及安全设施常态化安全检测制度；依托 BIM+GIS 技术搭建港口常压储罐全生命周期健康在线监测系统，加快推进港口危险货物监管平台建设，构建危险货物集中区智能化管控体系。为切实落实该项政策要求，亟需大力推广常压储罐自动化检测技术，并配套制</w:t>
            </w:r>
            <w:r>
              <w:rPr>
                <w:rFonts w:hint="eastAsia" w:eastAsia="宋体"/>
                <w:color w:val="000000"/>
                <w:sz w:val="21"/>
                <w:szCs w:val="21"/>
                <w:lang w:val="en-US" w:eastAsia="zh-CN"/>
              </w:rPr>
              <w:t>定</w:t>
            </w:r>
            <w:r>
              <w:rPr>
                <w:rFonts w:hint="eastAsia" w:eastAsia="宋体"/>
                <w:color w:val="000000"/>
                <w:sz w:val="21"/>
                <w:szCs w:val="21"/>
              </w:rPr>
              <w:t>相关行业标准规范。</w:t>
            </w:r>
          </w:p>
          <w:p w14:paraId="51B289A3">
            <w:pPr>
              <w:ind w:firstLine="420" w:firstLineChars="200"/>
              <w:rPr>
                <w:rFonts w:hint="eastAsia" w:eastAsia="宋体"/>
                <w:color w:val="000000"/>
                <w:sz w:val="21"/>
                <w:szCs w:val="21"/>
              </w:rPr>
            </w:pPr>
            <w:r>
              <w:rPr>
                <w:rFonts w:hint="eastAsia" w:eastAsia="宋体"/>
                <w:color w:val="000000"/>
                <w:sz w:val="21"/>
                <w:szCs w:val="21"/>
              </w:rPr>
              <w:t>为保障储罐安全运行、防范重特大危险事故发生，国家及行业已出台多项储罐检验相关标准规范。中国石油天然气管道局发布的《立式圆筒形钢制焊接油罐操作维护修理规程》（SY/T 5921-2011）与《油罐的检验、修理、改建及翻建》（SY/T 6620-2014）两项行业标准，均明确将储罐底板腐蚀检测列为储罐定期检验的必检项目；其中 SY/T 6620-2014 进一步要求必须定期开展储罐底板结构完整性安全评估。</w:t>
            </w:r>
          </w:p>
          <w:p w14:paraId="35C4A93E">
            <w:pPr>
              <w:ind w:firstLine="420" w:firstLineChars="200"/>
              <w:rPr>
                <w:rFonts w:hint="eastAsia" w:eastAsia="宋体"/>
                <w:color w:val="000000"/>
                <w:sz w:val="21"/>
                <w:szCs w:val="21"/>
              </w:rPr>
            </w:pPr>
            <w:r>
              <w:rPr>
                <w:rFonts w:hint="eastAsia" w:eastAsia="宋体"/>
                <w:color w:val="000000"/>
                <w:sz w:val="21"/>
                <w:szCs w:val="21"/>
              </w:rPr>
              <w:t>现阶段国内外现行漏磁检测相关标准体系仍存在空白：《无损检测 常压金属储罐漏磁检测方法》（JB/T 10765-2023）、《承压设备无损检测 第 12 部分 漏磁检测》（NB/T 47013.12-2015）等标准，仅对常规人工漏磁检测方法、工艺及评定要求作出规范，尚未针对大型储罐底板</w:t>
            </w:r>
            <w:r>
              <w:rPr>
                <w:rFonts w:hint="eastAsia" w:eastAsia="宋体"/>
                <w:color w:val="000000"/>
                <w:sz w:val="21"/>
                <w:szCs w:val="21"/>
                <w:lang w:val="en-US" w:eastAsia="zh-CN"/>
              </w:rPr>
              <w:t>漏磁检测</w:t>
            </w:r>
            <w:r>
              <w:rPr>
                <w:rFonts w:hint="eastAsia" w:eastAsia="宋体"/>
                <w:color w:val="000000"/>
                <w:sz w:val="21"/>
                <w:szCs w:val="21"/>
              </w:rPr>
              <w:t>机器人</w:t>
            </w:r>
            <w:r>
              <w:rPr>
                <w:rFonts w:hint="eastAsia" w:eastAsia="宋体"/>
                <w:color w:val="000000"/>
                <w:sz w:val="21"/>
                <w:szCs w:val="21"/>
                <w:lang w:val="en-US" w:eastAsia="zh-CN"/>
              </w:rPr>
              <w:t>开展</w:t>
            </w:r>
            <w:r>
              <w:rPr>
                <w:rFonts w:hint="eastAsia" w:eastAsia="宋体"/>
                <w:color w:val="000000"/>
                <w:sz w:val="21"/>
                <w:szCs w:val="21"/>
              </w:rPr>
              <w:t>漏磁检测制定专用技术要求、性能指标</w:t>
            </w:r>
            <w:r>
              <w:rPr>
                <w:rFonts w:hint="eastAsia" w:eastAsia="宋体"/>
                <w:color w:val="000000"/>
                <w:sz w:val="21"/>
                <w:szCs w:val="21"/>
                <w:lang w:eastAsia="zh-CN"/>
              </w:rPr>
              <w:t>、</w:t>
            </w:r>
            <w:r>
              <w:rPr>
                <w:rFonts w:hint="eastAsia" w:eastAsia="宋体"/>
                <w:color w:val="000000"/>
                <w:sz w:val="21"/>
                <w:szCs w:val="21"/>
                <w:lang w:val="en-US" w:eastAsia="zh-CN"/>
              </w:rPr>
              <w:t>试验方法等的要求</w:t>
            </w:r>
            <w:r>
              <w:rPr>
                <w:rFonts w:hint="eastAsia" w:eastAsia="宋体"/>
                <w:color w:val="000000"/>
                <w:sz w:val="21"/>
                <w:szCs w:val="21"/>
              </w:rPr>
              <w:t>。</w:t>
            </w:r>
          </w:p>
          <w:p w14:paraId="49C0F095">
            <w:pPr>
              <w:ind w:firstLine="420" w:firstLineChars="200"/>
              <w:rPr>
                <w:rFonts w:hint="eastAsia" w:eastAsia="宋体"/>
                <w:color w:val="000000"/>
                <w:sz w:val="21"/>
                <w:szCs w:val="21"/>
              </w:rPr>
            </w:pPr>
            <w:r>
              <w:rPr>
                <w:rFonts w:hint="eastAsia" w:eastAsia="宋体"/>
                <w:color w:val="000000"/>
                <w:sz w:val="21"/>
                <w:szCs w:val="21"/>
              </w:rPr>
              <w:t>目前，漏磁检测技术已广泛应用于储罐底板开罐内检测作业。传统漏磁检测依赖作业人员进入罐内实施人工</w:t>
            </w:r>
            <w:r>
              <w:rPr>
                <w:rFonts w:hint="eastAsia" w:eastAsia="宋体"/>
                <w:color w:val="000000"/>
                <w:sz w:val="21"/>
                <w:szCs w:val="21"/>
                <w:lang w:val="en-US" w:eastAsia="zh-CN"/>
              </w:rPr>
              <w:t>漏磁</w:t>
            </w:r>
            <w:r>
              <w:rPr>
                <w:rFonts w:hint="eastAsia" w:eastAsia="宋体"/>
                <w:color w:val="000000"/>
                <w:sz w:val="21"/>
                <w:szCs w:val="21"/>
              </w:rPr>
              <w:t>检测，属于典型受限空间高危作业：储罐内部易残留有毒有害、易燃易爆介质，作业安全风险极高；且储罐直径跨度大、内部布设加热盘管等构件，给人工检测带来诸多制约，主要存在以下突出问题：</w:t>
            </w:r>
          </w:p>
          <w:p w14:paraId="07103E3B">
            <w:pPr>
              <w:ind w:firstLine="420" w:firstLineChars="200"/>
              <w:rPr>
                <w:rFonts w:hint="eastAsia" w:eastAsia="宋体"/>
                <w:color w:val="000000"/>
                <w:sz w:val="21"/>
                <w:szCs w:val="21"/>
              </w:rPr>
            </w:pPr>
            <w:r>
              <w:rPr>
                <w:rFonts w:hint="eastAsia" w:eastAsia="宋体"/>
                <w:color w:val="000000"/>
                <w:sz w:val="21"/>
                <w:szCs w:val="21"/>
              </w:rPr>
              <w:t>(1) 人工检测作业效率偏低，人为操作易造成缺陷漏检、误检，检测覆盖率难以保证；</w:t>
            </w:r>
          </w:p>
          <w:p w14:paraId="6A4B4DCA">
            <w:pPr>
              <w:ind w:firstLine="420" w:firstLineChars="200"/>
              <w:rPr>
                <w:rFonts w:hint="eastAsia" w:eastAsia="宋体"/>
                <w:color w:val="000000"/>
                <w:sz w:val="21"/>
                <w:szCs w:val="21"/>
              </w:rPr>
            </w:pPr>
            <w:r>
              <w:rPr>
                <w:rFonts w:hint="eastAsia" w:eastAsia="宋体"/>
                <w:color w:val="000000"/>
                <w:sz w:val="21"/>
                <w:szCs w:val="21"/>
              </w:rPr>
              <w:t>(2) 人工巡检劳动强度大、作业周期长，检测结果的稳定性与重复性较差；</w:t>
            </w:r>
          </w:p>
          <w:p w14:paraId="10E244E6">
            <w:pPr>
              <w:ind w:firstLine="420" w:firstLineChars="200"/>
              <w:rPr>
                <w:rFonts w:hint="eastAsia" w:eastAsia="宋体"/>
                <w:color w:val="000000"/>
                <w:sz w:val="21"/>
                <w:szCs w:val="21"/>
              </w:rPr>
            </w:pPr>
            <w:r>
              <w:rPr>
                <w:rFonts w:hint="eastAsia" w:eastAsia="宋体"/>
                <w:color w:val="000000"/>
                <w:sz w:val="21"/>
                <w:szCs w:val="21"/>
              </w:rPr>
              <w:t>(3) 储罐为密闭受限空间，作业人员长时间入罐</w:t>
            </w:r>
            <w:r>
              <w:rPr>
                <w:rFonts w:hint="eastAsia" w:eastAsia="宋体"/>
                <w:color w:val="000000"/>
                <w:sz w:val="21"/>
                <w:szCs w:val="21"/>
                <w:lang w:val="en-US" w:eastAsia="zh-CN"/>
              </w:rPr>
              <w:t>开展漏磁检测</w:t>
            </w:r>
            <w:r>
              <w:rPr>
                <w:rFonts w:hint="eastAsia" w:eastAsia="宋体"/>
                <w:color w:val="000000"/>
                <w:sz w:val="21"/>
                <w:szCs w:val="21"/>
              </w:rPr>
              <w:t>，存在职业健康及人身安全双重隐患；</w:t>
            </w:r>
          </w:p>
          <w:p w14:paraId="52C42DA5">
            <w:pPr>
              <w:ind w:firstLine="420" w:firstLineChars="200"/>
              <w:rPr>
                <w:rFonts w:hint="eastAsia" w:eastAsia="宋体"/>
                <w:color w:val="000000"/>
                <w:sz w:val="21"/>
                <w:szCs w:val="21"/>
              </w:rPr>
            </w:pPr>
            <w:r>
              <w:rPr>
                <w:rFonts w:hint="eastAsia" w:eastAsia="宋体"/>
                <w:color w:val="000000"/>
                <w:sz w:val="21"/>
                <w:szCs w:val="21"/>
              </w:rPr>
              <w:t>(4) 罐内加热盘管、支撑构件等障碍物较多，人工通行及检测作业受限，部分区域难以覆盖。</w:t>
            </w:r>
          </w:p>
          <w:p w14:paraId="5B8DF041">
            <w:pPr>
              <w:ind w:firstLine="420" w:firstLineChars="200"/>
              <w:rPr>
                <w:rFonts w:hint="eastAsia" w:eastAsia="宋体"/>
                <w:color w:val="000000"/>
                <w:sz w:val="21"/>
                <w:szCs w:val="21"/>
              </w:rPr>
            </w:pPr>
            <w:r>
              <w:rPr>
                <w:rFonts w:hint="eastAsia" w:eastAsia="宋体"/>
                <w:color w:val="000000"/>
                <w:sz w:val="21"/>
                <w:szCs w:val="21"/>
                <w:lang w:val="en-US" w:eastAsia="zh-CN"/>
              </w:rPr>
              <w:t>因此</w:t>
            </w:r>
            <w:r>
              <w:rPr>
                <w:rFonts w:hint="eastAsia" w:eastAsia="宋体"/>
                <w:color w:val="000000"/>
                <w:sz w:val="21"/>
                <w:szCs w:val="21"/>
              </w:rPr>
              <w:t>，将智能机器人技术引入储罐底板</w:t>
            </w:r>
            <w:r>
              <w:rPr>
                <w:rFonts w:hint="eastAsia" w:eastAsia="宋体"/>
                <w:color w:val="000000"/>
                <w:sz w:val="21"/>
                <w:szCs w:val="21"/>
                <w:lang w:val="en-US" w:eastAsia="zh-CN"/>
              </w:rPr>
              <w:t>漏磁</w:t>
            </w:r>
            <w:r>
              <w:rPr>
                <w:rFonts w:hint="eastAsia" w:eastAsia="宋体"/>
                <w:color w:val="000000"/>
                <w:sz w:val="21"/>
                <w:szCs w:val="21"/>
              </w:rPr>
              <w:t>检测领域，实现漏磁检测技术与智能机器人技术深度融合，开展储罐底板自动</w:t>
            </w:r>
            <w:r>
              <w:rPr>
                <w:rFonts w:hint="eastAsia" w:eastAsia="宋体"/>
                <w:color w:val="000000"/>
                <w:sz w:val="21"/>
                <w:szCs w:val="21"/>
                <w:lang w:val="en-US" w:eastAsia="zh-CN"/>
              </w:rPr>
              <w:t>漏磁</w:t>
            </w:r>
            <w:r>
              <w:rPr>
                <w:rFonts w:hint="eastAsia" w:eastAsia="宋体"/>
                <w:color w:val="000000"/>
                <w:sz w:val="21"/>
                <w:szCs w:val="21"/>
              </w:rPr>
              <w:t>检测，已是行业发展的必然趋势与现实刚需。当前，西红柿科技（武汉）有限公司、南京市锅炉压力容器检验研究院、广东省特种设备检测研究院等多家</w:t>
            </w:r>
            <w:r>
              <w:rPr>
                <w:rFonts w:hint="eastAsia" w:eastAsia="宋体"/>
                <w:color w:val="000000"/>
                <w:sz w:val="21"/>
                <w:szCs w:val="21"/>
                <w:lang w:val="en-US" w:eastAsia="zh-CN"/>
              </w:rPr>
              <w:t>单位</w:t>
            </w:r>
            <w:r>
              <w:rPr>
                <w:rFonts w:hint="eastAsia" w:eastAsia="宋体"/>
                <w:color w:val="000000"/>
                <w:sz w:val="21"/>
                <w:szCs w:val="21"/>
              </w:rPr>
              <w:t>已相继研发出储罐底板漏磁检测机器人成套系统，部分设备已投入工程实际</w:t>
            </w:r>
            <w:r>
              <w:rPr>
                <w:rFonts w:hint="eastAsia" w:eastAsia="宋体"/>
                <w:color w:val="000000"/>
                <w:sz w:val="21"/>
                <w:szCs w:val="21"/>
                <w:lang w:val="en-US" w:eastAsia="zh-CN"/>
              </w:rPr>
              <w:t>广泛</w:t>
            </w:r>
            <w:r>
              <w:rPr>
                <w:rFonts w:hint="eastAsia" w:eastAsia="宋体"/>
                <w:color w:val="000000"/>
                <w:sz w:val="21"/>
                <w:szCs w:val="21"/>
              </w:rPr>
              <w:t>应用，有效解决了传统人工漏磁检测的诸多痛点，显著提升了储罐底板检测效率，大幅降低了作业人员劳动强度与安全风险。</w:t>
            </w:r>
          </w:p>
          <w:p w14:paraId="0F86B02E">
            <w:pPr>
              <w:ind w:firstLine="420" w:firstLineChars="200"/>
              <w:rPr>
                <w:rFonts w:eastAsia="等线" w:cs="等线"/>
                <w:color w:val="000000"/>
                <w:sz w:val="21"/>
                <w:szCs w:val="21"/>
              </w:rPr>
            </w:pPr>
            <w:r>
              <w:rPr>
                <w:rFonts w:hint="eastAsia" w:eastAsia="宋体"/>
                <w:color w:val="000000"/>
                <w:sz w:val="21"/>
                <w:szCs w:val="21"/>
              </w:rPr>
              <w:t>为统一机器人漏磁检测设备技术参数、保障检测结果准确性与</w:t>
            </w:r>
            <w:r>
              <w:rPr>
                <w:rFonts w:hint="eastAsia" w:eastAsia="宋体"/>
                <w:color w:val="000000"/>
                <w:sz w:val="21"/>
                <w:szCs w:val="21"/>
                <w:lang w:val="en-US" w:eastAsia="zh-CN"/>
              </w:rPr>
              <w:t>可靠</w:t>
            </w:r>
            <w:r>
              <w:rPr>
                <w:rFonts w:hint="eastAsia" w:eastAsia="宋体"/>
                <w:color w:val="000000"/>
                <w:sz w:val="21"/>
                <w:szCs w:val="21"/>
              </w:rPr>
              <w:t>性，亟需加快编制储罐底板漏磁检测机器人系统专项行业标准，为技术推广、工程应用及行业监管提供标准依据。</w:t>
            </w:r>
          </w:p>
        </w:tc>
      </w:tr>
      <w:tr w14:paraId="6B17D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268" w:hRule="atLeast"/>
        </w:trPr>
        <w:tc>
          <w:tcPr>
            <w:tcW w:w="1688" w:type="dxa"/>
            <w:tcBorders>
              <w:top w:val="single" w:color="auto" w:sz="6" w:space="0"/>
              <w:left w:val="single" w:color="auto" w:sz="4" w:space="0"/>
              <w:bottom w:val="single" w:color="auto" w:sz="6" w:space="0"/>
              <w:right w:val="single" w:color="auto" w:sz="4" w:space="0"/>
            </w:tcBorders>
            <w:vAlign w:val="center"/>
          </w:tcPr>
          <w:p w14:paraId="4CCB3014">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331" w:type="dxa"/>
            <w:gridSpan w:val="10"/>
            <w:tcBorders>
              <w:top w:val="single" w:color="auto" w:sz="6" w:space="0"/>
              <w:left w:val="single" w:color="auto" w:sz="4" w:space="0"/>
              <w:bottom w:val="single" w:color="auto" w:sz="6" w:space="0"/>
              <w:right w:val="single" w:color="auto" w:sz="4" w:space="0"/>
            </w:tcBorders>
          </w:tcPr>
          <w:p w14:paraId="639966C0">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美国</w:t>
            </w:r>
            <w:r>
              <w:rPr>
                <w:rFonts w:hint="default" w:eastAsia="宋体"/>
                <w:color w:val="000000"/>
                <w:sz w:val="21"/>
                <w:szCs w:val="21"/>
                <w:lang w:val="en-US" w:eastAsia="zh-CN"/>
              </w:rPr>
              <w:t>ASTM</w:t>
            </w:r>
            <w:r>
              <w:rPr>
                <w:rFonts w:hint="eastAsia" w:eastAsia="宋体"/>
                <w:color w:val="000000"/>
                <w:sz w:val="21"/>
                <w:szCs w:val="21"/>
                <w:lang w:val="en-US" w:eastAsia="zh-CN"/>
              </w:rPr>
              <w:t>标准</w:t>
            </w:r>
            <w:r>
              <w:rPr>
                <w:rFonts w:hint="default" w:eastAsia="宋体"/>
                <w:color w:val="000000"/>
                <w:sz w:val="21"/>
                <w:szCs w:val="21"/>
                <w:lang w:val="en-US" w:eastAsia="zh-CN"/>
              </w:rPr>
              <w:fldChar w:fldCharType="begin"/>
            </w:r>
            <w:r>
              <w:rPr>
                <w:rFonts w:hint="default" w:eastAsia="宋体"/>
                <w:color w:val="000000"/>
                <w:sz w:val="21"/>
                <w:szCs w:val="21"/>
                <w:lang w:val="en-US" w:eastAsia="zh-CN"/>
              </w:rPr>
              <w:instrText xml:space="preserve"> HYPERLINK "https://www.baidu.com/link?url=YVywtHlpsBr-bnj4NFZtaaJUdxoaQGUS5ymqO0C6WWSp1OgRwx5x9hjb9lT5jXdmIrUiCfCYpnV6ya_SPm5K3q&amp;wd=&amp;eqid=968ba2060e62c40e0000000666ff5c28" \t "https://www.baidu.com/_blank" </w:instrText>
            </w:r>
            <w:r>
              <w:rPr>
                <w:rFonts w:hint="default" w:eastAsia="宋体"/>
                <w:color w:val="000000"/>
                <w:sz w:val="21"/>
                <w:szCs w:val="21"/>
                <w:lang w:val="en-US" w:eastAsia="zh-CN"/>
              </w:rPr>
              <w:fldChar w:fldCharType="separate"/>
            </w:r>
            <w:r>
              <w:rPr>
                <w:rFonts w:hint="eastAsia" w:eastAsia="宋体"/>
                <w:color w:val="000000"/>
                <w:sz w:val="21"/>
                <w:szCs w:val="21"/>
                <w:lang w:val="en-US" w:eastAsia="zh-CN"/>
              </w:rPr>
              <w:t>《</w:t>
            </w:r>
            <w:r>
              <w:rPr>
                <w:rFonts w:hint="default" w:eastAsia="宋体"/>
                <w:color w:val="000000"/>
                <w:sz w:val="21"/>
                <w:szCs w:val="21"/>
                <w:lang w:val="en-US" w:eastAsia="zh-CN"/>
              </w:rPr>
              <w:t>铁磁性钢管漏磁检测规程</w:t>
            </w:r>
            <w:r>
              <w:rPr>
                <w:rFonts w:hint="default" w:eastAsia="宋体"/>
                <w:color w:val="000000"/>
                <w:sz w:val="21"/>
                <w:szCs w:val="21"/>
                <w:lang w:val="en-US" w:eastAsia="zh-CN"/>
              </w:rPr>
              <w:fldChar w:fldCharType="end"/>
            </w:r>
            <w:r>
              <w:rPr>
                <w:rFonts w:hint="eastAsia" w:eastAsia="宋体"/>
                <w:color w:val="000000"/>
                <w:sz w:val="21"/>
                <w:szCs w:val="21"/>
                <w:lang w:val="en-US" w:eastAsia="zh-CN"/>
              </w:rPr>
              <w:t>》（</w:t>
            </w:r>
            <w:r>
              <w:rPr>
                <w:rFonts w:hint="default" w:eastAsia="宋体"/>
                <w:color w:val="000000"/>
                <w:sz w:val="21"/>
                <w:szCs w:val="21"/>
                <w:lang w:val="en-US" w:eastAsia="zh-CN"/>
              </w:rPr>
              <w:t>ASTM E570-2020</w:t>
            </w:r>
            <w:r>
              <w:rPr>
                <w:rFonts w:hint="eastAsia" w:eastAsia="宋体"/>
                <w:color w:val="000000"/>
                <w:sz w:val="21"/>
                <w:szCs w:val="21"/>
                <w:lang w:val="en-US" w:eastAsia="zh-CN"/>
              </w:rPr>
              <w:t>）对使用漏磁试验方法检测铁磁性钢管产品外表面和内表面不连续性的设备的应用和标准化做出了规范性要求。</w:t>
            </w:r>
          </w:p>
          <w:p w14:paraId="2190E1F4">
            <w:pPr>
              <w:ind w:firstLine="420" w:firstLineChars="200"/>
              <w:rPr>
                <w:rFonts w:hint="default" w:eastAsia="宋体"/>
                <w:color w:val="000000"/>
                <w:sz w:val="21"/>
                <w:szCs w:val="21"/>
                <w:lang w:val="en-US" w:eastAsia="zh-CN"/>
              </w:rPr>
            </w:pPr>
            <w:r>
              <w:rPr>
                <w:rFonts w:hint="eastAsia" w:eastAsia="宋体"/>
                <w:color w:val="000000"/>
                <w:sz w:val="21"/>
                <w:szCs w:val="21"/>
                <w:lang w:val="en-US" w:eastAsia="zh-CN"/>
              </w:rPr>
              <w:t>德国标准《</w:t>
            </w:r>
            <w:r>
              <w:rPr>
                <w:rFonts w:hint="default" w:eastAsia="宋体"/>
                <w:color w:val="000000"/>
                <w:sz w:val="21"/>
                <w:szCs w:val="21"/>
                <w:lang w:val="en-US" w:eastAsia="zh-CN"/>
              </w:rPr>
              <w:t>无损检验.第1部分:用探测器扫描法检验磁性泄漏流量的原则</w:t>
            </w:r>
            <w:r>
              <w:rPr>
                <w:rFonts w:hint="eastAsia" w:eastAsia="宋体"/>
                <w:color w:val="000000"/>
                <w:sz w:val="21"/>
                <w:szCs w:val="21"/>
                <w:lang w:val="en-US" w:eastAsia="zh-CN"/>
              </w:rPr>
              <w:t>》（</w:t>
            </w:r>
            <w:r>
              <w:rPr>
                <w:rFonts w:hint="default" w:eastAsia="宋体"/>
                <w:color w:val="000000"/>
                <w:sz w:val="21"/>
                <w:szCs w:val="21"/>
                <w:lang w:val="en-US" w:eastAsia="zh-CN"/>
              </w:rPr>
              <w:t>DIN 54136-1-1988</w:t>
            </w:r>
            <w:r>
              <w:rPr>
                <w:rFonts w:hint="eastAsia" w:eastAsia="宋体"/>
                <w:color w:val="000000"/>
                <w:sz w:val="21"/>
                <w:szCs w:val="21"/>
                <w:lang w:val="en-US" w:eastAsia="zh-CN"/>
              </w:rPr>
              <w:t>）、《</w:t>
            </w:r>
            <w:r>
              <w:rPr>
                <w:rFonts w:hint="default" w:eastAsia="宋体"/>
                <w:color w:val="000000"/>
                <w:sz w:val="21"/>
                <w:szCs w:val="21"/>
                <w:lang w:val="en-US" w:eastAsia="zh-CN"/>
              </w:rPr>
              <w:t>无损检验</w:t>
            </w:r>
            <w:r>
              <w:rPr>
                <w:rFonts w:hint="eastAsia" w:eastAsia="宋体"/>
                <w:color w:val="000000"/>
                <w:sz w:val="21"/>
                <w:szCs w:val="21"/>
                <w:lang w:val="en-US" w:eastAsia="zh-CN"/>
              </w:rPr>
              <w:t xml:space="preserve"> </w:t>
            </w:r>
            <w:r>
              <w:rPr>
                <w:rFonts w:hint="default" w:eastAsia="宋体"/>
                <w:color w:val="000000"/>
                <w:sz w:val="21"/>
                <w:szCs w:val="21"/>
                <w:lang w:val="en-US" w:eastAsia="zh-CN"/>
              </w:rPr>
              <w:t>漏磁法</w:t>
            </w:r>
            <w:r>
              <w:rPr>
                <w:rFonts w:hint="eastAsia" w:eastAsia="宋体"/>
                <w:color w:val="000000"/>
                <w:sz w:val="21"/>
                <w:szCs w:val="21"/>
                <w:lang w:val="en-US" w:eastAsia="zh-CN"/>
              </w:rPr>
              <w:t xml:space="preserve"> </w:t>
            </w:r>
            <w:r>
              <w:rPr>
                <w:rFonts w:hint="default" w:eastAsia="宋体"/>
                <w:color w:val="000000"/>
                <w:sz w:val="21"/>
                <w:szCs w:val="21"/>
                <w:lang w:val="en-US" w:eastAsia="zh-CN"/>
              </w:rPr>
              <w:t>通则</w:t>
            </w:r>
            <w:r>
              <w:rPr>
                <w:rFonts w:hint="eastAsia" w:eastAsia="宋体"/>
                <w:color w:val="000000"/>
                <w:sz w:val="21"/>
                <w:szCs w:val="21"/>
                <w:lang w:val="en-US" w:eastAsia="zh-CN"/>
              </w:rPr>
              <w:t>》（</w:t>
            </w:r>
            <w:r>
              <w:rPr>
                <w:rFonts w:hint="default" w:eastAsia="宋体"/>
                <w:color w:val="000000"/>
                <w:sz w:val="21"/>
                <w:szCs w:val="21"/>
                <w:lang w:val="en-US" w:eastAsia="zh-CN"/>
              </w:rPr>
              <w:t>DIN</w:t>
            </w:r>
            <w:r>
              <w:rPr>
                <w:rFonts w:hint="eastAsia" w:eastAsia="宋体"/>
                <w:color w:val="000000"/>
                <w:sz w:val="21"/>
                <w:szCs w:val="21"/>
                <w:lang w:val="en-US" w:eastAsia="zh-CN"/>
              </w:rPr>
              <w:t xml:space="preserve"> </w:t>
            </w:r>
            <w:r>
              <w:rPr>
                <w:rFonts w:hint="default" w:eastAsia="宋体"/>
                <w:color w:val="000000"/>
                <w:sz w:val="21"/>
                <w:szCs w:val="21"/>
                <w:lang w:val="en-US" w:eastAsia="zh-CN"/>
              </w:rPr>
              <w:t>54130-1974</w:t>
            </w:r>
            <w:r>
              <w:rPr>
                <w:rFonts w:hint="eastAsia" w:eastAsia="宋体"/>
                <w:color w:val="000000"/>
                <w:sz w:val="21"/>
                <w:szCs w:val="21"/>
                <w:lang w:val="en-US" w:eastAsia="zh-CN"/>
              </w:rPr>
              <w:t>）对漏磁检测基本要求、通用要求做出了规范性要求。</w:t>
            </w:r>
          </w:p>
          <w:p w14:paraId="3851678E">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《承压设备无损检测 第12部分 漏磁检测》(NB/T47013.12-2015)规定了铁磁性材料制承压设备、无缝钢管和焊管(埋弧焊除外)的漏磁检测及结果评价方法，常压储罐可以参考该标准。该标准适用于有涂层或无涂层的铁磁性材料承压设备与元件母材内外表面产生的腐蚀和存在的机械损伤等体积性缺陷的漏磁检测，被检工件的厚度一般不超过30mm，管件直径不小于9mm。</w:t>
            </w:r>
          </w:p>
          <w:p w14:paraId="747A5FD6">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《无损检测 漏磁检测 总则》（GB/T 31212-2014）规定了对铁磁材料及构件进行漏磁检测的一般原则，适用于绳、杆、棒、管、板等几何形状规则的材料元件及构件的漏磁检测。</w:t>
            </w:r>
          </w:p>
          <w:p w14:paraId="1D49CD4A">
            <w:pPr>
              <w:ind w:firstLine="420" w:firstLineChars="200"/>
              <w:rPr>
                <w:rFonts w:hint="default" w:eastAsia="宋体"/>
                <w:color w:val="000000"/>
                <w:sz w:val="21"/>
                <w:szCs w:val="21"/>
                <w:lang w:val="en-US" w:eastAsia="zh-CN"/>
              </w:rPr>
            </w:pPr>
            <w:r>
              <w:rPr>
                <w:rFonts w:hint="eastAsia" w:eastAsia="宋体"/>
                <w:color w:val="000000"/>
                <w:sz w:val="21"/>
                <w:szCs w:val="21"/>
                <w:lang w:val="en-US" w:eastAsia="zh-CN"/>
              </w:rPr>
              <w:t>《无损检测 术语 漏磁检测》（GB/T 34357-2017）界定了漏磁检测的术语和定义。</w:t>
            </w:r>
          </w:p>
          <w:p w14:paraId="09F01CBD">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《无损检测 常压金属储罐漏磁检测方法》（JB/T 10765-2023）规定了常压金属储罐底板、壁板、顶板母材的漏磁检测方法及结果评价相关要求，适用于工作压力为常压或小于 0.1MPa的低压的地上铁磁性金属储罐底板、壁板、顶板母材不连续的漏磁检测。该标准不提供评价判据，具体的判据由检测方和用户双方协商确定。</w:t>
            </w:r>
          </w:p>
          <w:p w14:paraId="53CC0269">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《大型工业承压设备检测机器人通用技术条件》（GB/T 40574-2021）较为宽泛的规定了大型工业承压设备检测机器人的术语和定义、分类和型号编码、技术要求、试验方法、 检验规则、标志、包装、运输和贮存等。且不适用于易燃易爆、核辐射、高温、低温等特殊环境中使用的大型工业承压设备检测机器人。</w:t>
            </w:r>
          </w:p>
          <w:p w14:paraId="14DF672E">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上述国内外漏磁检测相关标准均未对大型储罐底板机器人自动漏磁检测做出针对性技术规范要求。</w:t>
            </w:r>
          </w:p>
          <w:p w14:paraId="3F6BC9DD">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本项目在术语、漏磁检测原理等相关方面与《承压设备无损检测 第12部分 漏磁检测》(NB/T47013.12-2015)、《无损检测 漏磁检测 总则》（GB/T 31212-2014）、《无损检测 术语 漏磁检测》（GB/T 34357-2017）协调统一，就机器人系统（包括障碍识别、检测路径自动规划、自主越障、自主避障、底板布置图自动创建、故障报警、安全要求等各项功能）、漏磁检测（包括漏磁检测性能、磁化强度自主调节、缺陷判定与结果输出等）对储罐底板漏磁检测机器人系统的应用和标准化进行规范性标准制定。</w:t>
            </w:r>
          </w:p>
        </w:tc>
      </w:tr>
      <w:tr w14:paraId="7186E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4"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0DCFA202">
            <w:pPr>
              <w:jc w:val="left"/>
              <w:rPr>
                <w:rFonts w:eastAsia="等线" w:cs="等线"/>
                <w:color w:val="000000"/>
                <w:sz w:val="21"/>
                <w:szCs w:val="21"/>
              </w:rPr>
            </w:pPr>
            <w:r>
              <w:rPr>
                <w:rFonts w:hint="eastAsia" w:eastAsia="等线" w:cs="等线"/>
                <w:b/>
                <w:color w:val="000000"/>
                <w:sz w:val="21"/>
                <w:szCs w:val="21"/>
              </w:rPr>
              <w:t>3、编制过程</w:t>
            </w:r>
          </w:p>
        </w:tc>
      </w:tr>
      <w:tr w14:paraId="3797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897" w:hRule="atLeast"/>
        </w:trPr>
        <w:tc>
          <w:tcPr>
            <w:tcW w:w="1688" w:type="dxa"/>
            <w:tcBorders>
              <w:top w:val="single" w:color="auto" w:sz="6" w:space="0"/>
              <w:left w:val="single" w:color="auto" w:sz="4" w:space="0"/>
              <w:bottom w:val="single" w:color="auto" w:sz="6" w:space="0"/>
              <w:right w:val="single" w:color="auto" w:sz="4" w:space="0"/>
            </w:tcBorders>
            <w:vAlign w:val="center"/>
          </w:tcPr>
          <w:p w14:paraId="5FA13537">
            <w:pPr>
              <w:jc w:val="center"/>
              <w:rPr>
                <w:rFonts w:eastAsia="等线" w:cs="等线"/>
                <w:color w:val="000000"/>
                <w:sz w:val="21"/>
                <w:szCs w:val="21"/>
              </w:rPr>
            </w:pPr>
            <w:r>
              <w:rPr>
                <w:rFonts w:hint="eastAsia" w:eastAsia="等线" w:cs="等线"/>
                <w:color w:val="000000"/>
                <w:sz w:val="21"/>
                <w:szCs w:val="21"/>
              </w:rPr>
              <w:t>3.1 分工情况</w:t>
            </w:r>
          </w:p>
        </w:tc>
        <w:tc>
          <w:tcPr>
            <w:tcW w:w="7331" w:type="dxa"/>
            <w:gridSpan w:val="10"/>
            <w:tcBorders>
              <w:top w:val="single" w:color="auto" w:sz="6" w:space="0"/>
              <w:left w:val="single" w:color="auto" w:sz="4" w:space="0"/>
              <w:bottom w:val="single" w:color="auto" w:sz="6" w:space="0"/>
              <w:right w:val="single" w:color="auto" w:sz="4" w:space="0"/>
            </w:tcBorders>
          </w:tcPr>
          <w:p w14:paraId="09CDD983">
            <w:pPr>
              <w:ind w:firstLine="420" w:firstLineChars="200"/>
              <w:rPr>
                <w:rFonts w:hint="eastAsia" w:eastAsia="宋体"/>
                <w:color w:val="000000"/>
                <w:sz w:val="21"/>
                <w:szCs w:val="21"/>
                <w:lang w:eastAsia="zh-CN"/>
              </w:rPr>
            </w:pPr>
            <w:r>
              <w:rPr>
                <w:rFonts w:eastAsia="宋体"/>
                <w:color w:val="000000"/>
                <w:sz w:val="21"/>
                <w:szCs w:val="21"/>
              </w:rPr>
              <w:t>（1）</w:t>
            </w:r>
            <w:r>
              <w:rPr>
                <w:rFonts w:hint="eastAsia" w:eastAsia="宋体"/>
                <w:color w:val="000000"/>
                <w:sz w:val="21"/>
                <w:szCs w:val="21"/>
              </w:rPr>
              <w:t>广东省特种设备检测研究院顺德检测院</w:t>
            </w:r>
            <w:r>
              <w:rPr>
                <w:rFonts w:eastAsia="宋体"/>
                <w:color w:val="000000"/>
                <w:sz w:val="21"/>
                <w:szCs w:val="21"/>
              </w:rPr>
              <w:t>负责标准总体框架和关键技术内容的起草、调研和专家研讨等工作</w:t>
            </w:r>
            <w:r>
              <w:rPr>
                <w:rFonts w:hint="eastAsia" w:eastAsia="宋体"/>
                <w:color w:val="000000"/>
                <w:sz w:val="21"/>
                <w:szCs w:val="21"/>
                <w:lang w:eastAsia="zh-CN"/>
              </w:rPr>
              <w:t>。</w:t>
            </w:r>
          </w:p>
          <w:p w14:paraId="391E389A">
            <w:pPr>
              <w:ind w:firstLine="420" w:firstLineChars="200"/>
              <w:rPr>
                <w:rFonts w:hint="eastAsia" w:eastAsia="宋体"/>
                <w:color w:val="000000"/>
                <w:sz w:val="21"/>
                <w:szCs w:val="21"/>
                <w:lang w:eastAsia="zh-CN"/>
              </w:rPr>
            </w:pPr>
            <w:r>
              <w:rPr>
                <w:rFonts w:eastAsia="宋体"/>
                <w:color w:val="000000"/>
                <w:sz w:val="21"/>
                <w:szCs w:val="21"/>
              </w:rPr>
              <w:t>（2）</w:t>
            </w:r>
            <w:r>
              <w:rPr>
                <w:rFonts w:hint="eastAsia" w:eastAsia="宋体"/>
                <w:color w:val="000000"/>
                <w:sz w:val="21"/>
                <w:szCs w:val="21"/>
                <w:lang w:eastAsia="zh-CN"/>
              </w:rPr>
              <w:t>江苏省特种设备安全监督检验研究院、中石化管道技术服务有限公司、浙江省特种设备科学</w:t>
            </w:r>
            <w:r>
              <w:rPr>
                <w:rFonts w:hint="eastAsia" w:eastAsia="宋体"/>
                <w:color w:val="000000"/>
                <w:sz w:val="21"/>
                <w:szCs w:val="21"/>
                <w:lang w:val="en-US" w:eastAsia="zh-CN"/>
              </w:rPr>
              <w:t>研究院</w:t>
            </w:r>
            <w:r>
              <w:rPr>
                <w:rFonts w:hint="eastAsia" w:eastAsia="宋体"/>
                <w:color w:val="000000"/>
                <w:sz w:val="21"/>
                <w:szCs w:val="21"/>
                <w:lang w:eastAsia="zh-CN"/>
              </w:rPr>
              <w:t>、广东省特种设备检测研究院、武汉工程大学、中石化工程质量监测有限公司、西红柿科技（武汉）有限公司、宁波市特种设备检验研究院、武汉华宇一目检测装备有限公司、深圳市中昌探伤器材有限公司</w:t>
            </w:r>
            <w:r>
              <w:rPr>
                <w:rFonts w:eastAsia="宋体"/>
                <w:color w:val="000000"/>
                <w:sz w:val="21"/>
                <w:szCs w:val="21"/>
              </w:rPr>
              <w:t>参与对标准技术内容的起草编制，提出意见建议</w:t>
            </w:r>
            <w:r>
              <w:rPr>
                <w:rFonts w:hint="eastAsia" w:eastAsia="宋体"/>
                <w:color w:val="000000"/>
                <w:sz w:val="21"/>
                <w:szCs w:val="21"/>
                <w:lang w:eastAsia="zh-CN"/>
              </w:rPr>
              <w:t>。</w:t>
            </w:r>
          </w:p>
          <w:p w14:paraId="4538C3F3">
            <w:pPr>
              <w:ind w:firstLine="420" w:firstLineChars="200"/>
              <w:rPr>
                <w:rFonts w:eastAsia="宋体"/>
                <w:color w:val="000000"/>
                <w:sz w:val="21"/>
                <w:szCs w:val="21"/>
              </w:rPr>
            </w:pPr>
            <w:r>
              <w:rPr>
                <w:rFonts w:eastAsia="宋体"/>
                <w:color w:val="000000"/>
                <w:sz w:val="21"/>
                <w:szCs w:val="21"/>
              </w:rPr>
              <w:t>（3）</w:t>
            </w:r>
            <w:r>
              <w:rPr>
                <w:rFonts w:hint="eastAsia" w:eastAsia="宋体"/>
                <w:color w:val="000000"/>
                <w:sz w:val="21"/>
                <w:szCs w:val="21"/>
                <w:lang w:eastAsia="zh-CN"/>
              </w:rPr>
              <w:t>江西省检验检测认证总院特种设备检验检测研究院、绍兴市特种设备检测院、广东省特种设备检测研究院</w:t>
            </w:r>
            <w:r>
              <w:rPr>
                <w:rFonts w:hint="eastAsia" w:eastAsia="宋体"/>
                <w:color w:val="000000"/>
                <w:sz w:val="21"/>
                <w:szCs w:val="21"/>
                <w:lang w:val="en-US" w:eastAsia="zh-CN"/>
              </w:rPr>
              <w:t>阳江</w:t>
            </w:r>
            <w:r>
              <w:rPr>
                <w:rFonts w:hint="eastAsia" w:eastAsia="宋体"/>
                <w:color w:val="000000"/>
                <w:sz w:val="21"/>
                <w:szCs w:val="21"/>
                <w:lang w:eastAsia="zh-CN"/>
              </w:rPr>
              <w:t>检测院、福建省特种设备检验研究院、安徽华夏高科技开发有限责任公司、西安特种设备检验检测院、洛阳百克特科技发展股份有限公司、广州声华科技股份有限公司、新疆生产建设兵团第一师锅炉压力容器检验所、新疆生产建设兵团质量技术评价中心</w:t>
            </w:r>
            <w:r>
              <w:rPr>
                <w:rFonts w:eastAsia="宋体"/>
                <w:color w:val="000000"/>
                <w:sz w:val="21"/>
                <w:szCs w:val="21"/>
              </w:rPr>
              <w:t>等单位负责参与标准部分章节内容的起草、调研和相关内容的修改完善工作。</w:t>
            </w:r>
          </w:p>
          <w:p w14:paraId="048A1E11">
            <w:pPr>
              <w:ind w:firstLine="420" w:firstLineChars="200"/>
              <w:rPr>
                <w:rFonts w:hint="default" w:eastAsia="宋体"/>
                <w:color w:val="000000"/>
                <w:sz w:val="21"/>
                <w:szCs w:val="21"/>
                <w:lang w:val="en-US" w:eastAsia="zh-CN"/>
              </w:rPr>
            </w:pPr>
            <w:r>
              <w:rPr>
                <w:rFonts w:eastAsia="宋体"/>
                <w:color w:val="000000"/>
                <w:sz w:val="21"/>
                <w:szCs w:val="21"/>
              </w:rPr>
              <w:t>（</w:t>
            </w:r>
            <w:r>
              <w:rPr>
                <w:rFonts w:hint="eastAsia" w:eastAsia="宋体"/>
                <w:color w:val="000000"/>
                <w:sz w:val="21"/>
                <w:szCs w:val="21"/>
                <w:lang w:val="en-US" w:eastAsia="zh-CN"/>
              </w:rPr>
              <w:t>4</w:t>
            </w:r>
            <w:r>
              <w:rPr>
                <w:rFonts w:eastAsia="宋体"/>
                <w:color w:val="000000"/>
                <w:sz w:val="21"/>
                <w:szCs w:val="21"/>
              </w:rPr>
              <w:t>）</w:t>
            </w:r>
            <w:r>
              <w:rPr>
                <w:rFonts w:hint="eastAsia" w:eastAsia="宋体"/>
                <w:color w:val="000000"/>
                <w:sz w:val="21"/>
                <w:szCs w:val="21"/>
                <w:lang w:eastAsia="zh-CN"/>
              </w:rPr>
              <w:t>西红柿科技（武汉）有限公司、江苏省特种设备安全监督检验研究院、</w:t>
            </w:r>
            <w:r>
              <w:rPr>
                <w:rFonts w:hint="eastAsia" w:eastAsia="宋体"/>
                <w:color w:val="000000"/>
                <w:sz w:val="21"/>
                <w:szCs w:val="21"/>
              </w:rPr>
              <w:t>广东省特种设备检测研究院顺德检测院</w:t>
            </w:r>
            <w:r>
              <w:rPr>
                <w:rFonts w:hint="eastAsia" w:eastAsia="宋体"/>
                <w:color w:val="000000"/>
                <w:sz w:val="21"/>
                <w:szCs w:val="21"/>
                <w:lang w:eastAsia="zh-CN"/>
              </w:rPr>
              <w:t>、江西省检验检测认证总院特种设备检验检测研究院、</w:t>
            </w:r>
            <w:r>
              <w:rPr>
                <w:rFonts w:hint="eastAsia" w:eastAsia="宋体"/>
                <w:color w:val="000000"/>
                <w:sz w:val="21"/>
                <w:szCs w:val="21"/>
              </w:rPr>
              <w:t>广东省特种设备检测研究院</w:t>
            </w:r>
            <w:r>
              <w:rPr>
                <w:rFonts w:hint="eastAsia" w:eastAsia="宋体"/>
                <w:color w:val="000000"/>
                <w:sz w:val="21"/>
                <w:szCs w:val="21"/>
                <w:lang w:val="en-US" w:eastAsia="zh-CN"/>
              </w:rPr>
              <w:t>阳江</w:t>
            </w:r>
            <w:r>
              <w:rPr>
                <w:rFonts w:hint="eastAsia" w:eastAsia="宋体"/>
                <w:color w:val="000000"/>
                <w:sz w:val="21"/>
                <w:szCs w:val="21"/>
              </w:rPr>
              <w:t>检测院</w:t>
            </w:r>
            <w:r>
              <w:rPr>
                <w:rFonts w:hint="eastAsia" w:eastAsia="宋体"/>
                <w:color w:val="000000"/>
                <w:sz w:val="21"/>
                <w:szCs w:val="21"/>
                <w:lang w:val="en-US" w:eastAsia="zh-CN"/>
              </w:rPr>
              <w:t>完成了“自主功能测试试板”的设计工作，解决了机器人各项自主功能的性能测试问题。</w:t>
            </w:r>
          </w:p>
          <w:p w14:paraId="6137184D">
            <w:pPr>
              <w:ind w:firstLine="420" w:firstLineChars="200"/>
              <w:rPr>
                <w:rFonts w:hint="default" w:eastAsia="宋体"/>
                <w:color w:val="000000"/>
                <w:sz w:val="21"/>
                <w:szCs w:val="21"/>
                <w:lang w:val="en-US" w:eastAsia="zh-CN"/>
              </w:rPr>
            </w:pPr>
            <w:r>
              <w:rPr>
                <w:rFonts w:eastAsia="宋体"/>
                <w:color w:val="000000"/>
                <w:sz w:val="21"/>
                <w:szCs w:val="21"/>
              </w:rPr>
              <w:t>（</w:t>
            </w:r>
            <w:r>
              <w:rPr>
                <w:rFonts w:hint="eastAsia" w:eastAsia="宋体"/>
                <w:color w:val="000000"/>
                <w:sz w:val="21"/>
                <w:szCs w:val="21"/>
                <w:lang w:val="en-US" w:eastAsia="zh-CN"/>
              </w:rPr>
              <w:t>5</w:t>
            </w:r>
            <w:r>
              <w:rPr>
                <w:rFonts w:eastAsia="宋体"/>
                <w:color w:val="000000"/>
                <w:sz w:val="21"/>
                <w:szCs w:val="21"/>
              </w:rPr>
              <w:t>）</w:t>
            </w:r>
            <w:r>
              <w:rPr>
                <w:rFonts w:hint="eastAsia" w:eastAsia="宋体"/>
                <w:color w:val="000000"/>
                <w:sz w:val="21"/>
                <w:szCs w:val="21"/>
              </w:rPr>
              <w:t>广东省特种设备检测研究院顺德检测院</w:t>
            </w:r>
            <w:r>
              <w:rPr>
                <w:rFonts w:hint="eastAsia" w:eastAsia="宋体"/>
                <w:color w:val="000000"/>
                <w:sz w:val="21"/>
                <w:szCs w:val="21"/>
                <w:lang w:eastAsia="zh-CN"/>
              </w:rPr>
              <w:t>、江苏省特种设备安全监督检验研究院、西红柿科技（武汉）有限公司、安徽华夏高科技开发有限责任公司、江西省检验检测认证总院特种设备检验检测研究院、中石化管道技术服务有限公司、武汉华宇一目检测装备有限公司、深圳市中昌探伤器材有限公司、</w:t>
            </w:r>
            <w:r>
              <w:rPr>
                <w:rFonts w:hint="eastAsia" w:eastAsia="宋体"/>
                <w:color w:val="000000"/>
                <w:sz w:val="21"/>
                <w:szCs w:val="21"/>
              </w:rPr>
              <w:t>广东省特种设备检测研究院</w:t>
            </w:r>
            <w:r>
              <w:rPr>
                <w:rFonts w:hint="eastAsia" w:eastAsia="宋体"/>
                <w:color w:val="000000"/>
                <w:sz w:val="21"/>
                <w:szCs w:val="21"/>
                <w:lang w:val="en-US" w:eastAsia="zh-CN"/>
              </w:rPr>
              <w:t>阳江</w:t>
            </w:r>
            <w:r>
              <w:rPr>
                <w:rFonts w:hint="eastAsia" w:eastAsia="宋体"/>
                <w:color w:val="000000"/>
                <w:sz w:val="21"/>
                <w:szCs w:val="21"/>
              </w:rPr>
              <w:t>检测院</w:t>
            </w:r>
            <w:r>
              <w:rPr>
                <w:rFonts w:hint="eastAsia" w:eastAsia="宋体"/>
                <w:color w:val="000000"/>
                <w:sz w:val="21"/>
                <w:szCs w:val="21"/>
                <w:lang w:val="en-US" w:eastAsia="zh-CN"/>
              </w:rPr>
              <w:t>进行了多次现场测试验证工作。</w:t>
            </w:r>
          </w:p>
        </w:tc>
      </w:tr>
      <w:tr w14:paraId="69716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0" w:hRule="atLeast"/>
        </w:trPr>
        <w:tc>
          <w:tcPr>
            <w:tcW w:w="1688" w:type="dxa"/>
            <w:tcBorders>
              <w:top w:val="single" w:color="auto" w:sz="6" w:space="0"/>
              <w:left w:val="single" w:color="auto" w:sz="4" w:space="0"/>
              <w:bottom w:val="single" w:color="auto" w:sz="6" w:space="0"/>
              <w:right w:val="single" w:color="auto" w:sz="4" w:space="0"/>
            </w:tcBorders>
            <w:vAlign w:val="center"/>
          </w:tcPr>
          <w:p w14:paraId="41691741">
            <w:pPr>
              <w:jc w:val="center"/>
              <w:rPr>
                <w:rFonts w:eastAsia="等线" w:cs="等线"/>
                <w:color w:val="000000"/>
                <w:sz w:val="21"/>
                <w:szCs w:val="21"/>
              </w:rPr>
            </w:pPr>
            <w:r>
              <w:rPr>
                <w:rFonts w:hint="eastAsia" w:eastAsia="等线" w:cs="等线"/>
                <w:color w:val="000000"/>
                <w:sz w:val="21"/>
                <w:szCs w:val="21"/>
              </w:rPr>
              <w:t>3.2 起草阶段</w:t>
            </w:r>
          </w:p>
        </w:tc>
        <w:tc>
          <w:tcPr>
            <w:tcW w:w="7331" w:type="dxa"/>
            <w:gridSpan w:val="10"/>
            <w:tcBorders>
              <w:top w:val="single" w:color="auto" w:sz="6" w:space="0"/>
              <w:left w:val="single" w:color="auto" w:sz="4" w:space="0"/>
              <w:bottom w:val="single" w:color="auto" w:sz="6" w:space="0"/>
              <w:right w:val="single" w:color="auto" w:sz="4" w:space="0"/>
            </w:tcBorders>
          </w:tcPr>
          <w:p w14:paraId="4C4941D4">
            <w:pPr>
              <w:ind w:firstLine="420" w:firstLineChars="200"/>
              <w:rPr>
                <w:rFonts w:eastAsia="宋体"/>
                <w:color w:val="000000"/>
                <w:sz w:val="21"/>
                <w:szCs w:val="21"/>
              </w:rPr>
            </w:pPr>
            <w:r>
              <w:rPr>
                <w:rFonts w:eastAsia="宋体"/>
                <w:color w:val="000000"/>
                <w:sz w:val="21"/>
                <w:szCs w:val="21"/>
              </w:rPr>
              <w:t>起草过程中具体工作内容包括：调研论证、大纲起草、政策法规信息收集、标准起草等工作。</w:t>
            </w:r>
          </w:p>
          <w:p w14:paraId="316F4A51">
            <w:pPr>
              <w:ind w:firstLine="420" w:firstLineChars="200"/>
              <w:rPr>
                <w:rFonts w:eastAsia="宋体"/>
                <w:color w:val="000000"/>
                <w:sz w:val="21"/>
                <w:szCs w:val="21"/>
              </w:rPr>
            </w:pPr>
            <w:r>
              <w:rPr>
                <w:rFonts w:eastAsia="宋体"/>
                <w:color w:val="000000"/>
                <w:sz w:val="21"/>
                <w:szCs w:val="21"/>
              </w:rPr>
              <w:t>202</w:t>
            </w:r>
            <w:r>
              <w:rPr>
                <w:rFonts w:hint="eastAsia" w:eastAsia="宋体"/>
                <w:color w:val="000000"/>
                <w:sz w:val="21"/>
                <w:szCs w:val="21"/>
                <w:lang w:val="en-US" w:eastAsia="zh-CN"/>
              </w:rPr>
              <w:t>5</w:t>
            </w:r>
            <w:r>
              <w:rPr>
                <w:rFonts w:eastAsia="宋体"/>
                <w:color w:val="000000"/>
                <w:sz w:val="21"/>
                <w:szCs w:val="21"/>
              </w:rPr>
              <w:t>年</w:t>
            </w:r>
            <w:r>
              <w:rPr>
                <w:rFonts w:hint="eastAsia" w:eastAsia="宋体"/>
                <w:color w:val="000000"/>
                <w:sz w:val="21"/>
                <w:szCs w:val="21"/>
                <w:lang w:val="en-US" w:eastAsia="zh-CN"/>
              </w:rPr>
              <w:t>6</w:t>
            </w:r>
            <w:r>
              <w:rPr>
                <w:rFonts w:eastAsia="宋体"/>
                <w:color w:val="000000"/>
                <w:sz w:val="21"/>
                <w:szCs w:val="21"/>
              </w:rPr>
              <w:t>月-202</w:t>
            </w:r>
            <w:r>
              <w:rPr>
                <w:rFonts w:hint="eastAsia" w:eastAsia="宋体"/>
                <w:color w:val="000000"/>
                <w:sz w:val="21"/>
                <w:szCs w:val="21"/>
                <w:lang w:val="en-US" w:eastAsia="zh-CN"/>
              </w:rPr>
              <w:t>5</w:t>
            </w:r>
            <w:r>
              <w:rPr>
                <w:rFonts w:eastAsia="宋体"/>
                <w:color w:val="000000"/>
                <w:sz w:val="21"/>
                <w:szCs w:val="21"/>
              </w:rPr>
              <w:t>年</w:t>
            </w:r>
            <w:r>
              <w:rPr>
                <w:rFonts w:hint="eastAsia" w:eastAsia="宋体"/>
                <w:color w:val="000000"/>
                <w:sz w:val="21"/>
                <w:szCs w:val="21"/>
                <w:lang w:val="en-US" w:eastAsia="zh-CN"/>
              </w:rPr>
              <w:t>8</w:t>
            </w:r>
            <w:r>
              <w:rPr>
                <w:rFonts w:eastAsia="宋体"/>
                <w:color w:val="000000"/>
                <w:sz w:val="21"/>
                <w:szCs w:val="21"/>
              </w:rPr>
              <w:t>月，计划下达后，由</w:t>
            </w:r>
            <w:r>
              <w:rPr>
                <w:rFonts w:hint="eastAsia" w:eastAsia="宋体"/>
                <w:color w:val="000000"/>
                <w:sz w:val="21"/>
                <w:szCs w:val="21"/>
              </w:rPr>
              <w:t>广东省特种设备检测研究院顺德检测院</w:t>
            </w:r>
            <w:r>
              <w:rPr>
                <w:rFonts w:eastAsia="宋体"/>
                <w:color w:val="000000"/>
                <w:sz w:val="21"/>
                <w:szCs w:val="21"/>
              </w:rPr>
              <w:t>组建标准起草工作小组，并征集编写专家。在遴选出优势团队后，确定了标准编写原则和任务分工。结合起草工作单位开展的大量调研与实际工程检测应用等，通过全面的对比、梳理和归纳，形成了标准的工作思路与编制原则，初步确认了标准技术方案，起草组于202</w:t>
            </w:r>
            <w:r>
              <w:rPr>
                <w:rFonts w:hint="eastAsia" w:eastAsia="宋体"/>
                <w:color w:val="000000"/>
                <w:sz w:val="21"/>
                <w:szCs w:val="21"/>
                <w:lang w:val="en-US" w:eastAsia="zh-CN"/>
              </w:rPr>
              <w:t>5</w:t>
            </w:r>
            <w:r>
              <w:rPr>
                <w:rFonts w:eastAsia="宋体"/>
                <w:color w:val="000000"/>
                <w:sz w:val="21"/>
                <w:szCs w:val="21"/>
              </w:rPr>
              <w:t>年8月提出了讨论稿。</w:t>
            </w:r>
          </w:p>
          <w:p w14:paraId="1582D946">
            <w:pPr>
              <w:ind w:firstLine="420" w:firstLineChars="200"/>
              <w:rPr>
                <w:rFonts w:eastAsia="宋体"/>
                <w:color w:val="000000"/>
                <w:sz w:val="21"/>
                <w:szCs w:val="21"/>
              </w:rPr>
            </w:pPr>
            <w:bookmarkStart w:id="0" w:name="_Hlk204706857"/>
            <w:r>
              <w:rPr>
                <w:rFonts w:hint="eastAsia" w:eastAsia="宋体"/>
                <w:color w:val="000000"/>
                <w:sz w:val="21"/>
                <w:szCs w:val="21"/>
              </w:rPr>
              <w:t>2025年9月18日—19日</w:t>
            </w:r>
            <w:r>
              <w:rPr>
                <w:rFonts w:eastAsia="宋体"/>
                <w:color w:val="000000"/>
                <w:sz w:val="21"/>
                <w:szCs w:val="21"/>
              </w:rPr>
              <w:t>，由</w:t>
            </w:r>
            <w:r>
              <w:rPr>
                <w:rFonts w:hint="eastAsia" w:eastAsia="宋体"/>
                <w:color w:val="000000"/>
                <w:sz w:val="21"/>
                <w:szCs w:val="21"/>
              </w:rPr>
              <w:t>广东省特种设备检测研究院顺德检测院</w:t>
            </w:r>
            <w:r>
              <w:rPr>
                <w:rFonts w:eastAsia="宋体"/>
                <w:color w:val="000000"/>
                <w:sz w:val="21"/>
                <w:szCs w:val="21"/>
              </w:rPr>
              <w:t>组织标准工作组，采用线下</w:t>
            </w:r>
            <w:r>
              <w:rPr>
                <w:rFonts w:hint="eastAsia" w:eastAsia="宋体"/>
                <w:color w:val="000000"/>
                <w:sz w:val="21"/>
                <w:szCs w:val="21"/>
                <w:lang w:val="en-US" w:eastAsia="zh-CN"/>
              </w:rPr>
              <w:t>会议讨论</w:t>
            </w:r>
            <w:r>
              <w:rPr>
                <w:rFonts w:eastAsia="宋体"/>
                <w:color w:val="000000"/>
                <w:sz w:val="21"/>
                <w:szCs w:val="21"/>
              </w:rPr>
              <w:t>模式，</w:t>
            </w:r>
            <w:r>
              <w:rPr>
                <w:rFonts w:hint="eastAsia" w:eastAsia="宋体"/>
                <w:color w:val="000000"/>
                <w:sz w:val="21"/>
                <w:szCs w:val="21"/>
                <w:lang w:val="en-US" w:eastAsia="zh-CN"/>
              </w:rPr>
              <w:t>于佛山市</w:t>
            </w:r>
            <w:r>
              <w:rPr>
                <w:rFonts w:eastAsia="宋体"/>
                <w:color w:val="000000"/>
                <w:sz w:val="21"/>
                <w:szCs w:val="21"/>
              </w:rPr>
              <w:t>召开了标准讨论会，标准工作组对讨论稿进行了讨论及修改。标准工作组针对</w:t>
            </w:r>
            <w:r>
              <w:rPr>
                <w:rFonts w:hint="eastAsia" w:eastAsia="宋体"/>
                <w:color w:val="000000"/>
                <w:sz w:val="21"/>
                <w:szCs w:val="21"/>
                <w:lang w:val="en-US" w:eastAsia="zh-CN"/>
              </w:rPr>
              <w:t>会议纪要中的问题</w:t>
            </w:r>
            <w:r>
              <w:rPr>
                <w:rFonts w:eastAsia="宋体"/>
                <w:color w:val="000000"/>
                <w:sz w:val="21"/>
                <w:szCs w:val="21"/>
              </w:rPr>
              <w:t>，就</w:t>
            </w:r>
            <w:r>
              <w:rPr>
                <w:rFonts w:hint="eastAsia" w:eastAsia="宋体"/>
                <w:color w:val="000000"/>
                <w:sz w:val="21"/>
                <w:szCs w:val="21"/>
                <w:lang w:val="en-US" w:eastAsia="zh-CN"/>
              </w:rPr>
              <w:t>当时</w:t>
            </w:r>
            <w:r>
              <w:rPr>
                <w:rFonts w:eastAsia="宋体"/>
                <w:color w:val="000000"/>
                <w:sz w:val="21"/>
                <w:szCs w:val="21"/>
              </w:rPr>
              <w:t>阶段任务分解与分工、标准进度及下一步工作安排进行部署和规划，并确定了标准实验验证方案。</w:t>
            </w:r>
            <w:bookmarkEnd w:id="0"/>
          </w:p>
          <w:p w14:paraId="72E9A3DF">
            <w:pPr>
              <w:ind w:firstLine="420" w:firstLineChars="200"/>
              <w:rPr>
                <w:rFonts w:hint="default" w:eastAsia="宋体"/>
                <w:color w:val="000000"/>
                <w:sz w:val="21"/>
                <w:szCs w:val="21"/>
                <w:highlight w:val="yellow"/>
                <w:lang w:val="en-US" w:eastAsia="zh-CN"/>
              </w:rPr>
            </w:pPr>
            <w:bookmarkStart w:id="1" w:name="_Hlk204706873"/>
            <w:r>
              <w:rPr>
                <w:rFonts w:hint="eastAsia" w:eastAsia="宋体"/>
                <w:color w:val="000000"/>
                <w:sz w:val="21"/>
                <w:szCs w:val="21"/>
              </w:rPr>
              <w:t>2025年12月4日—5日</w:t>
            </w:r>
            <w:r>
              <w:rPr>
                <w:rFonts w:eastAsia="宋体"/>
                <w:color w:val="000000"/>
                <w:sz w:val="21"/>
                <w:szCs w:val="21"/>
              </w:rPr>
              <w:t>，由</w:t>
            </w:r>
            <w:r>
              <w:rPr>
                <w:rFonts w:hint="eastAsia" w:eastAsia="宋体"/>
                <w:color w:val="000000"/>
                <w:sz w:val="21"/>
                <w:szCs w:val="21"/>
                <w:lang w:eastAsia="zh-CN"/>
              </w:rPr>
              <w:t>江苏省特种设备安全监督检验研究院</w:t>
            </w:r>
            <w:r>
              <w:rPr>
                <w:rFonts w:eastAsia="宋体"/>
                <w:color w:val="000000"/>
                <w:sz w:val="21"/>
                <w:szCs w:val="21"/>
              </w:rPr>
              <w:t>牵头负责对</w:t>
            </w:r>
            <w:r>
              <w:rPr>
                <w:rFonts w:hint="eastAsia" w:eastAsia="宋体"/>
                <w:color w:val="000000"/>
                <w:sz w:val="21"/>
                <w:szCs w:val="21"/>
                <w:lang w:val="en-US" w:eastAsia="zh-CN"/>
              </w:rPr>
              <w:t>储罐底板漏磁检测机器人开展了首次现场测试</w:t>
            </w:r>
            <w:r>
              <w:rPr>
                <w:rFonts w:hint="eastAsia" w:eastAsia="宋体"/>
                <w:color w:val="000000"/>
                <w:sz w:val="21"/>
                <w:szCs w:val="21"/>
                <w:lang w:eastAsia="zh-CN"/>
              </w:rPr>
              <w:t>验证，</w:t>
            </w:r>
            <w:r>
              <w:rPr>
                <w:rFonts w:hint="eastAsia" w:eastAsia="宋体"/>
                <w:color w:val="000000"/>
                <w:sz w:val="21"/>
                <w:szCs w:val="21"/>
                <w:lang w:val="en-US" w:eastAsia="zh-CN"/>
              </w:rPr>
              <w:t>现场通过</w:t>
            </w:r>
            <w:r>
              <w:rPr>
                <w:rFonts w:hint="eastAsia" w:eastAsia="宋体"/>
                <w:color w:val="000000"/>
                <w:sz w:val="21"/>
                <w:szCs w:val="21"/>
                <w:lang w:eastAsia="zh-CN"/>
              </w:rPr>
              <w:t>中国石油化工股份有限公司江苏江阴石油分公司长山油库</w:t>
            </w:r>
            <w:r>
              <w:rPr>
                <w:rFonts w:hint="eastAsia" w:eastAsia="宋体"/>
                <w:color w:val="000000"/>
                <w:sz w:val="21"/>
                <w:szCs w:val="21"/>
                <w:lang w:val="en-US" w:eastAsia="zh-CN"/>
              </w:rPr>
              <w:t>一台直径19米、底板厚度为6mm/8mm的待检常压储罐</w:t>
            </w:r>
            <w:r>
              <w:rPr>
                <w:rFonts w:hint="eastAsia" w:eastAsia="宋体"/>
                <w:color w:val="000000"/>
                <w:sz w:val="21"/>
                <w:szCs w:val="21"/>
                <w:lang w:eastAsia="zh-CN"/>
              </w:rPr>
              <w:t>，</w:t>
            </w:r>
            <w:r>
              <w:rPr>
                <w:rFonts w:hint="eastAsia" w:eastAsia="宋体"/>
                <w:color w:val="000000"/>
                <w:sz w:val="21"/>
                <w:szCs w:val="21"/>
                <w:lang w:val="en-US" w:eastAsia="zh-CN"/>
              </w:rPr>
              <w:t>对</w:t>
            </w:r>
            <w:r>
              <w:rPr>
                <w:rFonts w:hint="eastAsia" w:eastAsia="宋体"/>
                <w:color w:val="000000"/>
                <w:sz w:val="21"/>
                <w:szCs w:val="21"/>
                <w:lang w:eastAsia="zh-CN"/>
              </w:rPr>
              <w:t>Eddyfi</w:t>
            </w:r>
            <w:r>
              <w:rPr>
                <w:rFonts w:hint="eastAsia" w:eastAsia="宋体"/>
                <w:color w:val="000000"/>
                <w:sz w:val="21"/>
                <w:szCs w:val="21"/>
                <w:lang w:val="en-US" w:eastAsia="zh-CN"/>
              </w:rPr>
              <w:t>公司</w:t>
            </w:r>
            <w:r>
              <w:rPr>
                <w:rFonts w:hint="eastAsia" w:eastAsia="宋体"/>
                <w:color w:val="000000"/>
                <w:sz w:val="21"/>
                <w:szCs w:val="21"/>
                <w:lang w:eastAsia="zh-CN"/>
              </w:rPr>
              <w:t>Floormap X（</w:t>
            </w:r>
            <w:r>
              <w:rPr>
                <w:rFonts w:hint="eastAsia" w:eastAsia="宋体"/>
                <w:color w:val="000000"/>
                <w:sz w:val="21"/>
                <w:szCs w:val="21"/>
                <w:lang w:val="en-US" w:eastAsia="zh-CN"/>
              </w:rPr>
              <w:t>人工操作</w:t>
            </w:r>
            <w:r>
              <w:rPr>
                <w:rFonts w:hint="eastAsia" w:eastAsia="宋体"/>
                <w:color w:val="000000"/>
                <w:sz w:val="21"/>
                <w:szCs w:val="21"/>
                <w:lang w:eastAsia="zh-CN"/>
              </w:rPr>
              <w:t>）</w:t>
            </w:r>
            <w:r>
              <w:rPr>
                <w:rFonts w:hint="eastAsia" w:eastAsia="宋体"/>
                <w:color w:val="000000"/>
                <w:sz w:val="21"/>
                <w:szCs w:val="21"/>
                <w:lang w:val="en-US" w:eastAsia="zh-CN"/>
              </w:rPr>
              <w:t>和西红柿科技（武汉）有限公司TMT-ROBOT 10（漏磁检测机器人）</w:t>
            </w:r>
            <w:r>
              <w:rPr>
                <w:rFonts w:hint="eastAsia" w:eastAsia="宋体"/>
                <w:color w:val="000000"/>
                <w:sz w:val="21"/>
                <w:szCs w:val="21"/>
                <w:highlight w:val="none"/>
                <w:lang w:val="en-US" w:eastAsia="zh-CN"/>
              </w:rPr>
              <w:t>对漏磁检测机器人</w:t>
            </w:r>
            <w:r>
              <w:rPr>
                <w:rFonts w:hint="default" w:eastAsia="宋体"/>
                <w:color w:val="000000"/>
                <w:sz w:val="21"/>
                <w:szCs w:val="21"/>
                <w:highlight w:val="none"/>
                <w:lang w:val="en-US" w:eastAsia="zh-CN"/>
              </w:rPr>
              <w:t>路径规划</w:t>
            </w:r>
            <w:r>
              <w:rPr>
                <w:rFonts w:hint="eastAsia" w:eastAsia="宋体"/>
                <w:color w:val="000000"/>
                <w:sz w:val="21"/>
                <w:szCs w:val="21"/>
                <w:highlight w:val="none"/>
                <w:lang w:val="en-US" w:eastAsia="zh-CN"/>
              </w:rPr>
              <w:t>、自主避障、</w:t>
            </w:r>
            <w:r>
              <w:rPr>
                <w:rFonts w:hint="default" w:eastAsia="宋体"/>
                <w:color w:val="000000"/>
                <w:sz w:val="21"/>
                <w:szCs w:val="21"/>
                <w:highlight w:val="none"/>
                <w:lang w:val="en-US" w:eastAsia="zh-CN"/>
              </w:rPr>
              <w:t>自动换轨</w:t>
            </w:r>
            <w:r>
              <w:rPr>
                <w:rFonts w:hint="eastAsia" w:eastAsia="宋体"/>
                <w:color w:val="000000"/>
                <w:sz w:val="21"/>
                <w:szCs w:val="21"/>
                <w:highlight w:val="none"/>
                <w:lang w:val="en-US" w:eastAsia="zh-CN"/>
              </w:rPr>
              <w:t>、障碍识别、定位误差、漏磁检测灵敏度、磁化自适应调节、底板布置图自动创建、缺陷自主判定与检验结果输出等进行了测试验证</w:t>
            </w:r>
            <w:r>
              <w:rPr>
                <w:rFonts w:eastAsia="宋体"/>
                <w:color w:val="000000"/>
                <w:sz w:val="21"/>
                <w:szCs w:val="21"/>
                <w:highlight w:val="none"/>
              </w:rPr>
              <w:t>。</w:t>
            </w:r>
            <w:r>
              <w:rPr>
                <w:rFonts w:hint="eastAsia" w:eastAsia="宋体"/>
                <w:color w:val="000000"/>
                <w:sz w:val="21"/>
                <w:szCs w:val="21"/>
                <w:highlight w:val="none"/>
                <w:lang w:val="en-US" w:eastAsia="zh-CN"/>
              </w:rPr>
              <w:t>验证总结会上对自主功能测试试板设计和电气性能测试进行了讨论。</w:t>
            </w:r>
          </w:p>
          <w:p w14:paraId="1928B8F9">
            <w:pPr>
              <w:ind w:firstLine="420" w:firstLineChars="200"/>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2025年12月至2026年2月，</w:t>
            </w:r>
            <w:r>
              <w:rPr>
                <w:rFonts w:hint="eastAsia" w:eastAsia="宋体"/>
                <w:color w:val="000000"/>
                <w:sz w:val="21"/>
                <w:szCs w:val="21"/>
                <w:highlight w:val="none"/>
                <w:lang w:eastAsia="zh-CN"/>
              </w:rPr>
              <w:t>西红柿科技（武汉）有限公司、江苏省特种设备安全监督检验研究院、</w:t>
            </w:r>
            <w:r>
              <w:rPr>
                <w:rFonts w:hint="eastAsia" w:eastAsia="宋体"/>
                <w:color w:val="000000"/>
                <w:sz w:val="21"/>
                <w:szCs w:val="21"/>
                <w:highlight w:val="none"/>
              </w:rPr>
              <w:t>广东省特种设备检测研究院顺德检测院</w:t>
            </w:r>
            <w:r>
              <w:rPr>
                <w:rFonts w:hint="eastAsia" w:eastAsia="宋体"/>
                <w:color w:val="000000"/>
                <w:sz w:val="21"/>
                <w:szCs w:val="21"/>
                <w:highlight w:val="none"/>
                <w:lang w:eastAsia="zh-CN"/>
              </w:rPr>
              <w:t>、江西省检验检测认证总院特种设备检验检测研究院、</w:t>
            </w:r>
            <w:r>
              <w:rPr>
                <w:rFonts w:hint="eastAsia" w:eastAsia="宋体"/>
                <w:color w:val="000000"/>
                <w:sz w:val="21"/>
                <w:szCs w:val="21"/>
                <w:highlight w:val="none"/>
              </w:rPr>
              <w:t>广东省特种设备检测研究院</w:t>
            </w:r>
            <w:r>
              <w:rPr>
                <w:rFonts w:hint="eastAsia" w:eastAsia="宋体"/>
                <w:color w:val="000000"/>
                <w:sz w:val="21"/>
                <w:szCs w:val="21"/>
                <w:highlight w:val="none"/>
                <w:lang w:val="en-US" w:eastAsia="zh-CN"/>
              </w:rPr>
              <w:t>阳江</w:t>
            </w:r>
            <w:r>
              <w:rPr>
                <w:rFonts w:hint="eastAsia" w:eastAsia="宋体"/>
                <w:color w:val="000000"/>
                <w:sz w:val="21"/>
                <w:szCs w:val="21"/>
                <w:highlight w:val="none"/>
              </w:rPr>
              <w:t>检测院</w:t>
            </w:r>
            <w:r>
              <w:rPr>
                <w:rFonts w:hint="eastAsia" w:eastAsia="宋体"/>
                <w:color w:val="000000"/>
                <w:sz w:val="21"/>
                <w:szCs w:val="21"/>
                <w:highlight w:val="none"/>
                <w:lang w:val="en-US" w:eastAsia="zh-CN"/>
              </w:rPr>
              <w:t>协作完成了自主功能测试试板的设计和最终定型。</w:t>
            </w:r>
          </w:p>
          <w:p w14:paraId="27D489F4">
            <w:pPr>
              <w:ind w:firstLine="420" w:firstLineChars="200"/>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2026年3月19日—20日，</w:t>
            </w:r>
            <w:r>
              <w:rPr>
                <w:rFonts w:hint="eastAsia" w:eastAsia="宋体"/>
                <w:color w:val="000000"/>
                <w:sz w:val="21"/>
                <w:szCs w:val="21"/>
                <w:highlight w:val="none"/>
                <w:lang w:eastAsia="zh-CN"/>
              </w:rPr>
              <w:t>西红柿科技（武汉）有限公司、中石化管道技术服务有限公司、武汉华宇一目检测装备有限公司、广东省特种设备检测研究院、深圳市中昌探伤器材有限公司</w:t>
            </w:r>
            <w:r>
              <w:rPr>
                <w:rFonts w:hint="eastAsia" w:eastAsia="宋体"/>
                <w:color w:val="000000"/>
                <w:sz w:val="21"/>
                <w:szCs w:val="21"/>
                <w:highlight w:val="none"/>
                <w:lang w:val="en-US" w:eastAsia="zh-CN"/>
              </w:rPr>
              <w:t>等单位于武汉通过西红柿科技（武汉）有限公司和中石化工程质量监测有限公司共建的测试储罐完成了第二次测试验证，测试对象为直径10米、底板厚度6-20mm的储罐，储罐底板上下表面预制有20%、40%、60%、80%的减薄缺陷，有可移动的模拟障碍物的浮顶杆、牺牲阳极等。本次测试验证完成了相邻轨迹扫查带有效重叠、</w:t>
            </w:r>
            <w:r>
              <w:rPr>
                <w:rFonts w:hint="default" w:eastAsia="宋体"/>
                <w:color w:val="000000"/>
                <w:sz w:val="21"/>
                <w:szCs w:val="21"/>
                <w:highlight w:val="none"/>
                <w:lang w:val="en-US" w:eastAsia="zh-CN"/>
              </w:rPr>
              <w:t>垂直原扫查方向</w:t>
            </w:r>
            <w:r>
              <w:rPr>
                <w:rFonts w:hint="eastAsia" w:eastAsia="宋体"/>
                <w:color w:val="000000"/>
                <w:sz w:val="21"/>
                <w:szCs w:val="21"/>
                <w:highlight w:val="none"/>
                <w:lang w:val="en-US" w:eastAsia="zh-CN"/>
              </w:rPr>
              <w:t>的缺陷验证、</w:t>
            </w:r>
            <w:r>
              <w:rPr>
                <w:rFonts w:hint="default" w:eastAsia="宋体"/>
                <w:color w:val="000000"/>
                <w:sz w:val="21"/>
                <w:szCs w:val="21"/>
                <w:highlight w:val="none"/>
                <w:lang w:val="en-US" w:eastAsia="zh-CN"/>
              </w:rPr>
              <w:t>检测厚度</w:t>
            </w:r>
            <w:r>
              <w:rPr>
                <w:rFonts w:hint="eastAsia" w:eastAsia="宋体"/>
                <w:color w:val="000000"/>
                <w:sz w:val="21"/>
                <w:szCs w:val="21"/>
                <w:highlight w:val="none"/>
                <w:lang w:val="en-US" w:eastAsia="zh-CN"/>
              </w:rPr>
              <w:t>性能、漏磁检测灵敏度、安全保护功能的测试验证。</w:t>
            </w:r>
          </w:p>
          <w:p w14:paraId="57D60FB8">
            <w:pPr>
              <w:ind w:firstLine="420" w:firstLineChars="200"/>
              <w:rPr>
                <w:rFonts w:hint="default" w:eastAsia="宋体"/>
                <w:color w:val="000000"/>
                <w:sz w:val="21"/>
                <w:szCs w:val="21"/>
                <w:highlight w:val="yellow"/>
                <w:lang w:val="en-US" w:eastAsia="zh-CN"/>
              </w:rPr>
            </w:pPr>
            <w:r>
              <w:rPr>
                <w:rFonts w:hint="eastAsia" w:eastAsia="宋体"/>
                <w:color w:val="000000"/>
                <w:sz w:val="21"/>
                <w:szCs w:val="21"/>
                <w:highlight w:val="none"/>
                <w:lang w:val="en-US" w:eastAsia="zh-CN"/>
              </w:rPr>
              <w:t>此外，</w:t>
            </w:r>
            <w:r>
              <w:rPr>
                <w:rFonts w:hint="eastAsia" w:eastAsia="宋体"/>
                <w:b w:val="0"/>
                <w:bCs w:val="0"/>
                <w:color w:val="000000"/>
                <w:sz w:val="21"/>
                <w:szCs w:val="21"/>
                <w:highlight w:val="none"/>
                <w:lang w:eastAsia="zh-CN"/>
              </w:rPr>
              <w:t>中石化管道技术服务有限公司、天津市特种设备监督检验技术研究院、烟台市特种设备检验研究院、宁波市劳动安全技术服务有限公司、恒力石化（大连）有限公司、嘉兴市特种设备检验检测院、中石化工程质量监测有限公司、宁夏特种设备检验检测研究院‌、江苏省特种设备安全监督检验研究院张家港分院、河北省特种设备监督检验研究院邢台分院、</w:t>
            </w:r>
            <w:r>
              <w:rPr>
                <w:rFonts w:hint="eastAsia" w:eastAsia="宋体"/>
                <w:b w:val="0"/>
                <w:bCs w:val="0"/>
                <w:color w:val="000000"/>
                <w:sz w:val="21"/>
                <w:szCs w:val="21"/>
                <w:highlight w:val="none"/>
              </w:rPr>
              <w:t>广东省特种设备检测研究院</w:t>
            </w:r>
            <w:r>
              <w:rPr>
                <w:rFonts w:hint="eastAsia" w:eastAsia="宋体"/>
                <w:color w:val="000000"/>
                <w:sz w:val="21"/>
                <w:szCs w:val="21"/>
                <w:highlight w:val="none"/>
                <w:lang w:val="en-US" w:eastAsia="zh-CN"/>
              </w:rPr>
              <w:t>等单位提供了大量日常漏磁检测机器人开展常压储罐检验中现场应用信息。</w:t>
            </w:r>
          </w:p>
          <w:p w14:paraId="5C89A603">
            <w:pPr>
              <w:ind w:firstLine="420" w:firstLineChars="200"/>
              <w:rPr>
                <w:rFonts w:eastAsia="宋体"/>
                <w:color w:val="000000"/>
                <w:sz w:val="21"/>
                <w:szCs w:val="21"/>
              </w:rPr>
            </w:pPr>
            <w:r>
              <w:rPr>
                <w:rFonts w:eastAsia="宋体"/>
                <w:color w:val="000000"/>
                <w:sz w:val="21"/>
                <w:szCs w:val="21"/>
              </w:rPr>
              <w:t>202</w:t>
            </w:r>
            <w:r>
              <w:rPr>
                <w:rFonts w:hint="eastAsia" w:eastAsia="宋体"/>
                <w:color w:val="000000"/>
                <w:sz w:val="21"/>
                <w:szCs w:val="21"/>
                <w:lang w:val="en-US" w:eastAsia="zh-CN"/>
              </w:rPr>
              <w:t>5</w:t>
            </w:r>
            <w:r>
              <w:rPr>
                <w:rFonts w:eastAsia="宋体"/>
                <w:color w:val="000000"/>
                <w:sz w:val="21"/>
                <w:szCs w:val="21"/>
              </w:rPr>
              <w:t>年</w:t>
            </w:r>
            <w:r>
              <w:rPr>
                <w:rFonts w:hint="eastAsia" w:eastAsia="宋体"/>
                <w:color w:val="000000"/>
                <w:sz w:val="21"/>
                <w:szCs w:val="21"/>
                <w:lang w:val="en-US" w:eastAsia="zh-CN"/>
              </w:rPr>
              <w:t>10</w:t>
            </w:r>
            <w:r>
              <w:rPr>
                <w:rFonts w:eastAsia="宋体"/>
                <w:color w:val="000000"/>
                <w:sz w:val="21"/>
                <w:szCs w:val="21"/>
              </w:rPr>
              <w:t>月-202</w:t>
            </w:r>
            <w:r>
              <w:rPr>
                <w:rFonts w:hint="eastAsia" w:eastAsia="宋体"/>
                <w:color w:val="000000"/>
                <w:sz w:val="21"/>
                <w:szCs w:val="21"/>
                <w:lang w:val="en-US" w:eastAsia="zh-CN"/>
              </w:rPr>
              <w:t>6</w:t>
            </w:r>
            <w:r>
              <w:rPr>
                <w:rFonts w:eastAsia="宋体"/>
                <w:color w:val="000000"/>
                <w:sz w:val="21"/>
                <w:szCs w:val="21"/>
              </w:rPr>
              <w:t>年</w:t>
            </w:r>
            <w:r>
              <w:rPr>
                <w:rFonts w:hint="eastAsia" w:eastAsia="宋体"/>
                <w:color w:val="000000"/>
                <w:sz w:val="21"/>
                <w:szCs w:val="21"/>
                <w:lang w:val="en-US" w:eastAsia="zh-CN"/>
              </w:rPr>
              <w:t>4</w:t>
            </w:r>
            <w:r>
              <w:rPr>
                <w:rFonts w:eastAsia="宋体"/>
                <w:color w:val="000000"/>
                <w:sz w:val="21"/>
                <w:szCs w:val="21"/>
              </w:rPr>
              <w:t>月，通过线上会议、</w:t>
            </w:r>
            <w:r>
              <w:rPr>
                <w:rFonts w:hint="eastAsia" w:eastAsia="宋体"/>
                <w:color w:val="000000"/>
                <w:sz w:val="21"/>
                <w:szCs w:val="21"/>
                <w:lang w:val="en-US" w:eastAsia="zh-CN"/>
              </w:rPr>
              <w:t>微信</w:t>
            </w:r>
            <w:r>
              <w:rPr>
                <w:rFonts w:eastAsia="宋体"/>
                <w:color w:val="000000"/>
                <w:sz w:val="21"/>
                <w:szCs w:val="21"/>
              </w:rPr>
              <w:t>、电话等方式沟通对标准草案进行了</w:t>
            </w:r>
            <w:r>
              <w:rPr>
                <w:rFonts w:hint="eastAsia" w:eastAsia="宋体"/>
                <w:color w:val="000000"/>
                <w:sz w:val="21"/>
                <w:szCs w:val="21"/>
                <w:lang w:val="en-US" w:eastAsia="zh-CN"/>
              </w:rPr>
              <w:t>讨论稿进行了进一步修改与完善</w:t>
            </w:r>
            <w:r>
              <w:rPr>
                <w:rFonts w:eastAsia="宋体"/>
                <w:color w:val="000000"/>
                <w:sz w:val="21"/>
                <w:szCs w:val="21"/>
              </w:rPr>
              <w:t>，</w:t>
            </w:r>
            <w:r>
              <w:rPr>
                <w:rFonts w:hint="eastAsia" w:eastAsia="宋体"/>
                <w:color w:val="000000"/>
                <w:sz w:val="21"/>
                <w:szCs w:val="21"/>
                <w:lang w:val="en-US" w:eastAsia="zh-CN"/>
              </w:rPr>
              <w:t>增加了附录A</w:t>
            </w:r>
            <w:r>
              <w:rPr>
                <w:rFonts w:hint="eastAsia" w:eastAsia="宋体"/>
                <w:color w:val="000000"/>
                <w:sz w:val="21"/>
                <w:szCs w:val="21"/>
              </w:rPr>
              <w:t>—</w:t>
            </w:r>
            <w:r>
              <w:rPr>
                <w:rFonts w:hint="eastAsia" w:eastAsia="宋体"/>
                <w:color w:val="000000"/>
                <w:sz w:val="21"/>
                <w:szCs w:val="21"/>
                <w:lang w:val="en-US" w:eastAsia="zh-CN"/>
              </w:rPr>
              <w:t>附录H</w:t>
            </w:r>
            <w:r>
              <w:rPr>
                <w:rFonts w:eastAsia="宋体"/>
                <w:color w:val="000000"/>
                <w:sz w:val="21"/>
                <w:szCs w:val="21"/>
              </w:rPr>
              <w:t>，</w:t>
            </w:r>
            <w:r>
              <w:rPr>
                <w:rFonts w:hint="eastAsia" w:eastAsia="宋体"/>
                <w:color w:val="000000"/>
                <w:sz w:val="21"/>
                <w:szCs w:val="21"/>
                <w:lang w:val="en-US" w:eastAsia="zh-CN"/>
              </w:rPr>
              <w:t>进一步完善了术语、试验方法等相关内容，</w:t>
            </w:r>
            <w:r>
              <w:rPr>
                <w:rFonts w:eastAsia="宋体"/>
                <w:color w:val="000000"/>
                <w:sz w:val="21"/>
                <w:szCs w:val="21"/>
              </w:rPr>
              <w:t>经过工作组成员反复讨论、多次协商，完成了标准</w:t>
            </w:r>
            <w:r>
              <w:rPr>
                <w:rFonts w:hint="eastAsia" w:eastAsia="宋体"/>
                <w:color w:val="000000"/>
                <w:sz w:val="21"/>
                <w:szCs w:val="21"/>
                <w:lang w:val="en-US" w:eastAsia="zh-CN"/>
              </w:rPr>
              <w:t>讨论二稿</w:t>
            </w:r>
            <w:r>
              <w:rPr>
                <w:rFonts w:eastAsia="宋体"/>
                <w:color w:val="000000"/>
                <w:sz w:val="21"/>
                <w:szCs w:val="21"/>
              </w:rPr>
              <w:t>。</w:t>
            </w:r>
            <w:r>
              <w:rPr>
                <w:rFonts w:hint="default" w:ascii="Times New Roman" w:hAnsi="Times New Roman" w:eastAsia="宋体" w:cs="Times New Roman"/>
                <w:color w:val="000000"/>
                <w:sz w:val="21"/>
                <w:szCs w:val="21"/>
                <w:lang w:val="en-US" w:eastAsia="zh-CN"/>
              </w:rPr>
              <w:t>2026年4月16日</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17日</w:t>
            </w:r>
            <w:r>
              <w:rPr>
                <w:rFonts w:hint="eastAsia" w:eastAsia="宋体" w:cs="Times New Roman"/>
                <w:color w:val="000000"/>
                <w:sz w:val="21"/>
                <w:szCs w:val="21"/>
                <w:lang w:val="en-US" w:eastAsia="zh-CN"/>
              </w:rPr>
              <w:t>，</w:t>
            </w:r>
            <w:r>
              <w:rPr>
                <w:rFonts w:eastAsia="宋体"/>
                <w:color w:val="000000"/>
                <w:sz w:val="21"/>
                <w:szCs w:val="21"/>
              </w:rPr>
              <w:t>由</w:t>
            </w:r>
            <w:r>
              <w:rPr>
                <w:rFonts w:hint="eastAsia" w:eastAsia="宋体"/>
                <w:color w:val="000000"/>
                <w:sz w:val="21"/>
                <w:szCs w:val="21"/>
              </w:rPr>
              <w:t>广东省特种设备检测研究院顺德检测院</w:t>
            </w:r>
            <w:r>
              <w:rPr>
                <w:rFonts w:eastAsia="宋体"/>
                <w:color w:val="000000"/>
                <w:sz w:val="21"/>
                <w:szCs w:val="21"/>
              </w:rPr>
              <w:t>组织标准工作组，采用线下</w:t>
            </w:r>
            <w:r>
              <w:rPr>
                <w:rFonts w:hint="eastAsia" w:eastAsia="宋体"/>
                <w:color w:val="000000"/>
                <w:sz w:val="21"/>
                <w:szCs w:val="21"/>
                <w:lang w:val="en-US" w:eastAsia="zh-CN"/>
              </w:rPr>
              <w:t>会议讨论</w:t>
            </w:r>
            <w:r>
              <w:rPr>
                <w:rFonts w:eastAsia="宋体"/>
                <w:color w:val="000000"/>
                <w:sz w:val="21"/>
                <w:szCs w:val="21"/>
              </w:rPr>
              <w:t>模式，</w:t>
            </w:r>
            <w:r>
              <w:rPr>
                <w:rFonts w:hint="eastAsia" w:eastAsia="宋体"/>
                <w:color w:val="000000"/>
                <w:sz w:val="21"/>
                <w:szCs w:val="21"/>
                <w:lang w:val="en-US" w:eastAsia="zh-CN"/>
              </w:rPr>
              <w:t>于江西省南昌市</w:t>
            </w:r>
            <w:r>
              <w:rPr>
                <w:rFonts w:eastAsia="宋体"/>
                <w:color w:val="000000"/>
                <w:sz w:val="21"/>
                <w:szCs w:val="21"/>
              </w:rPr>
              <w:t>召开了</w:t>
            </w:r>
            <w:r>
              <w:rPr>
                <w:rFonts w:hint="eastAsia" w:eastAsia="宋体"/>
                <w:color w:val="000000"/>
                <w:sz w:val="21"/>
                <w:szCs w:val="21"/>
                <w:lang w:val="en-US" w:eastAsia="zh-CN"/>
              </w:rPr>
              <w:t>第二次</w:t>
            </w:r>
            <w:r>
              <w:rPr>
                <w:rFonts w:eastAsia="宋体"/>
                <w:color w:val="000000"/>
                <w:sz w:val="21"/>
                <w:szCs w:val="21"/>
              </w:rPr>
              <w:t>标准讨论会，对讨论稿进行了</w:t>
            </w:r>
            <w:r>
              <w:rPr>
                <w:rFonts w:hint="eastAsia" w:eastAsia="宋体"/>
                <w:color w:val="000000"/>
                <w:sz w:val="21"/>
                <w:szCs w:val="21"/>
                <w:lang w:val="en-US" w:eastAsia="zh-CN"/>
              </w:rPr>
              <w:t>第二次现场集中</w:t>
            </w:r>
            <w:r>
              <w:rPr>
                <w:rFonts w:eastAsia="宋体"/>
                <w:color w:val="000000"/>
                <w:sz w:val="21"/>
                <w:szCs w:val="21"/>
              </w:rPr>
              <w:t>讨论</w:t>
            </w:r>
            <w:bookmarkEnd w:id="1"/>
            <w:bookmarkStart w:id="2" w:name="_Hlk204706909"/>
            <w:r>
              <w:rPr>
                <w:rFonts w:eastAsia="宋体"/>
                <w:color w:val="000000"/>
                <w:sz w:val="21"/>
                <w:szCs w:val="21"/>
              </w:rPr>
              <w:t>，</w:t>
            </w:r>
            <w:bookmarkEnd w:id="2"/>
            <w:r>
              <w:rPr>
                <w:rFonts w:eastAsia="宋体"/>
                <w:color w:val="000000"/>
                <w:sz w:val="21"/>
                <w:szCs w:val="21"/>
              </w:rPr>
              <w:t>完成讨论稿的修改，经内部讨论达成一致后，形成征求意见稿和编制说明。</w:t>
            </w:r>
          </w:p>
          <w:p w14:paraId="69E83325">
            <w:pPr>
              <w:ind w:firstLine="420" w:firstLineChars="200"/>
              <w:rPr>
                <w:rFonts w:eastAsia="宋体"/>
                <w:color w:val="000000"/>
                <w:sz w:val="21"/>
                <w:szCs w:val="21"/>
              </w:rPr>
            </w:pPr>
            <w:r>
              <w:rPr>
                <w:rFonts w:hint="eastAsia" w:ascii="宋体" w:hAnsi="宋体" w:eastAsia="宋体" w:cs="宋体"/>
                <w:kern w:val="2"/>
                <w:sz w:val="21"/>
                <w:szCs w:val="22"/>
                <w:lang w:val="en-US" w:eastAsia="zh-CN" w:bidi="ar-SA"/>
              </w:rPr>
              <w:t>2026年7月已征求总局特设局对标准的意见。</w:t>
            </w:r>
          </w:p>
        </w:tc>
      </w:tr>
      <w:tr w14:paraId="42701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3067" w:hRule="atLeast"/>
        </w:trPr>
        <w:tc>
          <w:tcPr>
            <w:tcW w:w="1688" w:type="dxa"/>
            <w:tcBorders>
              <w:top w:val="single" w:color="auto" w:sz="6" w:space="0"/>
              <w:left w:val="single" w:color="auto" w:sz="4" w:space="0"/>
              <w:bottom w:val="single" w:color="auto" w:sz="6" w:space="0"/>
              <w:right w:val="single" w:color="auto" w:sz="4" w:space="0"/>
            </w:tcBorders>
            <w:vAlign w:val="center"/>
          </w:tcPr>
          <w:p w14:paraId="3E230A7D">
            <w:pPr>
              <w:jc w:val="center"/>
              <w:rPr>
                <w:rFonts w:eastAsia="等线" w:cs="等线"/>
                <w:color w:val="000000"/>
                <w:sz w:val="21"/>
                <w:szCs w:val="21"/>
              </w:rPr>
            </w:pPr>
            <w:r>
              <w:rPr>
                <w:rFonts w:hint="eastAsia" w:eastAsia="等线" w:cs="等线"/>
                <w:color w:val="000000"/>
                <w:sz w:val="21"/>
                <w:szCs w:val="21"/>
              </w:rPr>
              <w:t>3.3 征求意见阶段</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61562FAE">
            <w:pPr>
              <w:ind w:firstLine="420" w:firstLineChars="200"/>
              <w:rPr>
                <w:rFonts w:eastAsia="等线" w:cs="等线"/>
                <w:color w:val="000000"/>
                <w:sz w:val="21"/>
                <w:szCs w:val="21"/>
              </w:rPr>
            </w:pPr>
            <w:r>
              <w:rPr>
                <w:rFonts w:eastAsia="宋体"/>
                <w:color w:val="000000"/>
                <w:sz w:val="21"/>
                <w:szCs w:val="21"/>
              </w:rPr>
              <w:t>拟定于202</w:t>
            </w:r>
            <w:r>
              <w:rPr>
                <w:rFonts w:hint="eastAsia" w:eastAsia="宋体"/>
                <w:color w:val="000000"/>
                <w:sz w:val="21"/>
                <w:szCs w:val="21"/>
                <w:lang w:val="en-US" w:eastAsia="zh-CN"/>
              </w:rPr>
              <w:t>6</w:t>
            </w:r>
            <w:r>
              <w:rPr>
                <w:rFonts w:eastAsia="宋体"/>
                <w:color w:val="000000"/>
                <w:sz w:val="21"/>
                <w:szCs w:val="21"/>
              </w:rPr>
              <w:t>年</w:t>
            </w:r>
            <w:r>
              <w:rPr>
                <w:rFonts w:hint="eastAsia" w:eastAsia="宋体"/>
                <w:color w:val="000000"/>
                <w:sz w:val="21"/>
                <w:szCs w:val="21"/>
                <w:lang w:val="en-US" w:eastAsia="zh-CN"/>
              </w:rPr>
              <w:t>8</w:t>
            </w:r>
            <w:r>
              <w:rPr>
                <w:rFonts w:eastAsia="宋体"/>
                <w:color w:val="000000"/>
                <w:sz w:val="21"/>
                <w:szCs w:val="21"/>
              </w:rPr>
              <w:t>月向社会公开征求意见。</w:t>
            </w:r>
          </w:p>
        </w:tc>
      </w:tr>
      <w:tr w14:paraId="327D3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3432" w:hRule="atLeast"/>
        </w:trPr>
        <w:tc>
          <w:tcPr>
            <w:tcW w:w="1688" w:type="dxa"/>
            <w:tcBorders>
              <w:top w:val="single" w:color="auto" w:sz="6" w:space="0"/>
              <w:left w:val="single" w:color="auto" w:sz="4" w:space="0"/>
              <w:bottom w:val="single" w:color="auto" w:sz="6" w:space="0"/>
              <w:right w:val="single" w:color="auto" w:sz="4" w:space="0"/>
            </w:tcBorders>
            <w:vAlign w:val="center"/>
          </w:tcPr>
          <w:p w14:paraId="6048672A">
            <w:pPr>
              <w:jc w:val="center"/>
              <w:rPr>
                <w:rFonts w:eastAsia="等线" w:cs="等线"/>
                <w:color w:val="000000"/>
                <w:sz w:val="21"/>
                <w:szCs w:val="21"/>
              </w:rPr>
            </w:pPr>
            <w:r>
              <w:rPr>
                <w:rFonts w:hint="eastAsia" w:eastAsia="等线" w:cs="等线"/>
                <w:color w:val="000000"/>
                <w:sz w:val="21"/>
                <w:szCs w:val="21"/>
              </w:rPr>
              <w:t>3.4标准审查阶段</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54AAAB5F">
            <w:pPr>
              <w:ind w:firstLine="420" w:firstLineChars="200"/>
              <w:rPr>
                <w:rFonts w:eastAsia="等线" w:cs="等线"/>
                <w:color w:val="000000"/>
                <w:sz w:val="21"/>
                <w:szCs w:val="21"/>
              </w:rPr>
            </w:pPr>
          </w:p>
        </w:tc>
      </w:tr>
      <w:tr w14:paraId="5F329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4"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07E7B5B5">
            <w:pPr>
              <w:jc w:val="left"/>
              <w:rPr>
                <w:rFonts w:eastAsia="等线" w:cs="等线"/>
                <w:color w:val="000000"/>
                <w:sz w:val="21"/>
                <w:szCs w:val="21"/>
              </w:rPr>
            </w:pPr>
            <w:r>
              <w:rPr>
                <w:rFonts w:hint="eastAsia" w:eastAsia="等线" w:cs="等线"/>
                <w:b/>
                <w:color w:val="000000"/>
                <w:sz w:val="21"/>
                <w:szCs w:val="21"/>
              </w:rPr>
              <w:t>4、主要技术内容的确定</w:t>
            </w:r>
          </w:p>
        </w:tc>
      </w:tr>
      <w:tr w14:paraId="3C7AD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0" w:hRule="atLeast"/>
        </w:trPr>
        <w:tc>
          <w:tcPr>
            <w:tcW w:w="9019" w:type="dxa"/>
            <w:gridSpan w:val="11"/>
            <w:tcBorders>
              <w:top w:val="single" w:color="auto" w:sz="6" w:space="0"/>
              <w:left w:val="single" w:color="auto" w:sz="4" w:space="0"/>
              <w:bottom w:val="single" w:color="auto" w:sz="6" w:space="0"/>
              <w:right w:val="single" w:color="auto" w:sz="4" w:space="0"/>
            </w:tcBorders>
          </w:tcPr>
          <w:p w14:paraId="02568C7C">
            <w:pPr>
              <w:ind w:firstLine="420" w:firstLineChars="200"/>
              <w:rPr>
                <w:rFonts w:eastAsia="宋体"/>
                <w:color w:val="000000"/>
                <w:sz w:val="21"/>
                <w:szCs w:val="21"/>
              </w:rPr>
            </w:pPr>
            <w:r>
              <w:rPr>
                <w:rFonts w:eastAsia="宋体"/>
                <w:color w:val="000000"/>
                <w:sz w:val="21"/>
                <w:szCs w:val="21"/>
              </w:rPr>
              <w:t>本标准按照现行的 GB/T1.1</w:t>
            </w:r>
            <w:r>
              <w:rPr>
                <w:rFonts w:hint="default" w:eastAsia="宋体"/>
                <w:color w:val="000000"/>
                <w:sz w:val="21"/>
                <w:szCs w:val="21"/>
              </w:rPr>
              <w:t>《标准化工作导则</w:t>
            </w:r>
            <w:r>
              <w:rPr>
                <w:rFonts w:hint="default" w:eastAsia="宋体"/>
                <w:color w:val="000000"/>
                <w:sz w:val="21"/>
                <w:szCs w:val="21"/>
                <w:lang w:val="en-US" w:eastAsia="zh-CN"/>
              </w:rPr>
              <w:t xml:space="preserve"> </w:t>
            </w:r>
            <w:r>
              <w:rPr>
                <w:rFonts w:hint="default" w:eastAsia="宋体"/>
                <w:color w:val="000000"/>
                <w:sz w:val="21"/>
                <w:szCs w:val="21"/>
              </w:rPr>
              <w:t>第1部分：标准</w:t>
            </w:r>
            <w:r>
              <w:rPr>
                <w:rFonts w:hint="default" w:eastAsia="宋体"/>
                <w:color w:val="000000"/>
                <w:sz w:val="21"/>
                <w:szCs w:val="21"/>
                <w:lang w:val="en-US" w:eastAsia="zh-CN"/>
              </w:rPr>
              <w:t>化文件</w:t>
            </w:r>
            <w:r>
              <w:rPr>
                <w:rFonts w:hint="default" w:eastAsia="宋体"/>
                <w:color w:val="000000"/>
                <w:sz w:val="21"/>
                <w:szCs w:val="21"/>
              </w:rPr>
              <w:t>的结构和</w:t>
            </w:r>
            <w:r>
              <w:rPr>
                <w:rFonts w:hint="default" w:eastAsia="宋体"/>
                <w:color w:val="000000"/>
                <w:sz w:val="21"/>
                <w:szCs w:val="21"/>
                <w:lang w:val="en-US" w:eastAsia="zh-CN"/>
              </w:rPr>
              <w:t>起草规则</w:t>
            </w:r>
            <w:r>
              <w:rPr>
                <w:rFonts w:hint="default" w:eastAsia="宋体"/>
                <w:color w:val="000000"/>
                <w:sz w:val="21"/>
                <w:szCs w:val="21"/>
              </w:rPr>
              <w:t>》</w:t>
            </w:r>
            <w:r>
              <w:rPr>
                <w:rFonts w:eastAsia="宋体"/>
                <w:color w:val="000000"/>
                <w:sz w:val="21"/>
                <w:szCs w:val="21"/>
              </w:rPr>
              <w:t>给出的规则起草。</w:t>
            </w:r>
          </w:p>
          <w:p w14:paraId="4C5D98FB">
            <w:pPr>
              <w:ind w:firstLine="420" w:firstLineChars="200"/>
              <w:rPr>
                <w:rFonts w:hint="eastAsia" w:eastAsia="宋体"/>
                <w:color w:val="000000"/>
                <w:sz w:val="21"/>
                <w:szCs w:val="21"/>
              </w:rPr>
            </w:pPr>
            <w:r>
              <w:rPr>
                <w:rFonts w:hint="eastAsia" w:eastAsia="宋体"/>
                <w:color w:val="000000"/>
                <w:sz w:val="21"/>
                <w:szCs w:val="21"/>
              </w:rPr>
              <w:t>本标准主要内容</w:t>
            </w:r>
            <w:r>
              <w:rPr>
                <w:rFonts w:hint="eastAsia" w:eastAsia="宋体"/>
                <w:color w:val="000000"/>
                <w:sz w:val="21"/>
                <w:szCs w:val="21"/>
                <w:lang w:eastAsia="zh-CN"/>
              </w:rPr>
              <w:t>：</w:t>
            </w:r>
            <w:r>
              <w:rPr>
                <w:rFonts w:hint="default" w:eastAsia="宋体"/>
                <w:color w:val="000000"/>
                <w:sz w:val="21"/>
                <w:szCs w:val="21"/>
              </w:rPr>
              <w:t>规定了</w:t>
            </w:r>
            <w:r>
              <w:rPr>
                <w:rFonts w:hint="eastAsia" w:eastAsia="宋体"/>
                <w:color w:val="000000"/>
                <w:sz w:val="21"/>
                <w:szCs w:val="21"/>
                <w:lang w:val="en-US" w:eastAsia="zh-CN"/>
              </w:rPr>
              <w:t>常压储罐</w:t>
            </w:r>
            <w:r>
              <w:rPr>
                <w:rFonts w:hint="default" w:eastAsia="宋体"/>
                <w:color w:val="000000"/>
                <w:sz w:val="21"/>
                <w:szCs w:val="21"/>
                <w:lang w:val="en-US" w:eastAsia="zh-CN"/>
              </w:rPr>
              <w:t>底板自动</w:t>
            </w:r>
            <w:r>
              <w:rPr>
                <w:rFonts w:hint="default" w:eastAsia="宋体"/>
                <w:color w:val="000000"/>
                <w:sz w:val="21"/>
                <w:szCs w:val="21"/>
              </w:rPr>
              <w:t>漏磁检测</w:t>
            </w:r>
            <w:r>
              <w:rPr>
                <w:rFonts w:hint="default" w:eastAsia="宋体"/>
                <w:color w:val="000000"/>
                <w:sz w:val="21"/>
                <w:szCs w:val="21"/>
                <w:lang w:val="en-US" w:eastAsia="zh-CN"/>
              </w:rPr>
              <w:t>机器人</w:t>
            </w:r>
            <w:r>
              <w:rPr>
                <w:rFonts w:hint="default" w:eastAsia="宋体"/>
                <w:color w:val="000000"/>
                <w:sz w:val="21"/>
                <w:szCs w:val="21"/>
              </w:rPr>
              <w:t>的</w:t>
            </w:r>
            <w:r>
              <w:rPr>
                <w:rFonts w:hint="eastAsia" w:eastAsia="宋体"/>
                <w:color w:val="000000"/>
                <w:sz w:val="21"/>
                <w:szCs w:val="21"/>
                <w:lang w:val="en-US" w:eastAsia="zh-CN"/>
              </w:rPr>
              <w:t>范围、</w:t>
            </w:r>
            <w:r>
              <w:rPr>
                <w:rFonts w:hint="default" w:eastAsia="宋体"/>
                <w:color w:val="000000"/>
                <w:sz w:val="21"/>
                <w:szCs w:val="21"/>
              </w:rPr>
              <w:t>术语和定义、型号编码、技术要求</w:t>
            </w:r>
            <w:r>
              <w:rPr>
                <w:rFonts w:hint="eastAsia" w:eastAsia="宋体"/>
                <w:color w:val="000000"/>
                <w:sz w:val="21"/>
                <w:szCs w:val="21"/>
                <w:lang w:eastAsia="zh-CN"/>
              </w:rPr>
              <w:t>、</w:t>
            </w:r>
            <w:r>
              <w:rPr>
                <w:rFonts w:hint="default" w:eastAsia="宋体"/>
                <w:color w:val="000000"/>
                <w:sz w:val="21"/>
                <w:szCs w:val="21"/>
              </w:rPr>
              <w:t>试验方法、检验规则、标志</w:t>
            </w:r>
            <w:r>
              <w:rPr>
                <w:rFonts w:hint="eastAsia" w:eastAsia="宋体"/>
                <w:color w:val="000000"/>
                <w:sz w:val="21"/>
                <w:szCs w:val="21"/>
                <w:lang w:val="en-US" w:eastAsia="zh-CN"/>
              </w:rPr>
              <w:t>、</w:t>
            </w:r>
            <w:r>
              <w:rPr>
                <w:rFonts w:hint="default" w:eastAsia="宋体"/>
                <w:color w:val="000000"/>
                <w:sz w:val="21"/>
                <w:szCs w:val="21"/>
              </w:rPr>
              <w:t>包装、运输</w:t>
            </w:r>
            <w:bookmarkStart w:id="3" w:name="OLE_LINK18"/>
            <w:r>
              <w:rPr>
                <w:rFonts w:hint="eastAsia" w:eastAsia="宋体"/>
                <w:color w:val="000000"/>
                <w:sz w:val="21"/>
                <w:szCs w:val="21"/>
                <w:lang w:val="en-US" w:eastAsia="zh-CN"/>
              </w:rPr>
              <w:t>和</w:t>
            </w:r>
            <w:r>
              <w:rPr>
                <w:rFonts w:hint="default" w:eastAsia="宋体"/>
                <w:color w:val="000000"/>
                <w:sz w:val="21"/>
                <w:szCs w:val="21"/>
              </w:rPr>
              <w:t>贮存</w:t>
            </w:r>
            <w:bookmarkEnd w:id="3"/>
            <w:r>
              <w:rPr>
                <w:rFonts w:hint="eastAsia" w:eastAsia="宋体"/>
                <w:color w:val="000000"/>
                <w:sz w:val="21"/>
                <w:szCs w:val="21"/>
                <w:lang w:val="en-US" w:eastAsia="zh-CN"/>
              </w:rPr>
              <w:t>等内容</w:t>
            </w:r>
            <w:r>
              <w:rPr>
                <w:rFonts w:hint="eastAsia" w:eastAsia="宋体"/>
                <w:color w:val="000000"/>
                <w:sz w:val="21"/>
                <w:szCs w:val="21"/>
              </w:rPr>
              <w:t>。</w:t>
            </w:r>
          </w:p>
          <w:p w14:paraId="60CEDF70">
            <w:pPr>
              <w:ind w:firstLine="420" w:firstLineChars="200"/>
              <w:rPr>
                <w:rFonts w:hint="eastAsia" w:eastAsia="宋体"/>
                <w:color w:val="000000"/>
                <w:sz w:val="21"/>
                <w:szCs w:val="21"/>
              </w:rPr>
            </w:pPr>
            <w:r>
              <w:rPr>
                <w:rFonts w:hint="eastAsia" w:eastAsia="宋体"/>
                <w:color w:val="000000"/>
                <w:sz w:val="21"/>
                <w:szCs w:val="21"/>
              </w:rPr>
              <w:t>1、 范围 该部分对《储罐底板自动漏磁检测机器人通用技术条件》 标准的主要内容和适用范围进行了规定。</w:t>
            </w:r>
          </w:p>
          <w:p w14:paraId="67CAA5BE">
            <w:pPr>
              <w:ind w:firstLine="420" w:firstLineChars="200"/>
              <w:rPr>
                <w:rFonts w:hint="default" w:eastAsia="宋体"/>
                <w:color w:val="000000"/>
                <w:sz w:val="21"/>
                <w:szCs w:val="21"/>
                <w:lang w:val="en-US" w:eastAsia="zh-CN"/>
              </w:rPr>
            </w:pPr>
            <w:r>
              <w:rPr>
                <w:rFonts w:hint="eastAsia" w:eastAsia="宋体"/>
                <w:color w:val="000000"/>
                <w:sz w:val="21"/>
                <w:szCs w:val="21"/>
              </w:rPr>
              <w:t>2、规范引用文件</w:t>
            </w:r>
            <w:r>
              <w:rPr>
                <w:rFonts w:hint="eastAsia" w:eastAsia="宋体"/>
                <w:color w:val="000000"/>
                <w:sz w:val="21"/>
                <w:szCs w:val="21"/>
                <w:lang w:val="en-US" w:eastAsia="zh-CN"/>
              </w:rPr>
              <w:t xml:space="preserve"> </w:t>
            </w:r>
            <w:r>
              <w:rPr>
                <w:rFonts w:hint="eastAsia" w:eastAsia="宋体"/>
                <w:color w:val="000000"/>
                <w:sz w:val="21"/>
                <w:szCs w:val="21"/>
              </w:rPr>
              <w:t>该部分主要</w:t>
            </w:r>
            <w:r>
              <w:rPr>
                <w:rFonts w:hint="eastAsia" w:eastAsia="宋体"/>
                <w:color w:val="000000"/>
                <w:sz w:val="21"/>
                <w:szCs w:val="21"/>
                <w:lang w:val="en-US" w:eastAsia="zh-CN"/>
              </w:rPr>
              <w:t>列明了本标准引用的相关标准。</w:t>
            </w:r>
          </w:p>
          <w:p w14:paraId="6D4A57BE">
            <w:pPr>
              <w:ind w:firstLine="420" w:firstLineChars="200"/>
              <w:rPr>
                <w:rFonts w:hint="eastAsia" w:eastAsia="宋体"/>
                <w:color w:val="000000"/>
                <w:sz w:val="21"/>
                <w:szCs w:val="21"/>
              </w:rPr>
            </w:pPr>
            <w:r>
              <w:rPr>
                <w:rFonts w:hint="eastAsia" w:eastAsia="宋体"/>
                <w:color w:val="000000"/>
                <w:sz w:val="21"/>
                <w:szCs w:val="21"/>
              </w:rPr>
              <w:t>3、术语和定义 该部分主要对</w:t>
            </w:r>
            <w:r>
              <w:rPr>
                <w:rFonts w:hint="default" w:eastAsia="宋体"/>
                <w:color w:val="000000"/>
                <w:sz w:val="21"/>
                <w:szCs w:val="21"/>
              </w:rPr>
              <w:t>漏磁检测</w:t>
            </w:r>
            <w:r>
              <w:rPr>
                <w:rFonts w:hint="default" w:eastAsia="宋体"/>
                <w:color w:val="000000"/>
                <w:sz w:val="21"/>
                <w:szCs w:val="21"/>
                <w:lang w:val="en-US" w:eastAsia="zh-CN"/>
              </w:rPr>
              <w:t>机器人</w:t>
            </w:r>
            <w:r>
              <w:rPr>
                <w:rFonts w:hint="eastAsia" w:eastAsia="宋体"/>
                <w:color w:val="000000"/>
                <w:sz w:val="21"/>
                <w:szCs w:val="21"/>
              </w:rPr>
              <w:t>的术语及定义进行了阐释。</w:t>
            </w:r>
          </w:p>
          <w:p w14:paraId="5EE38054">
            <w:pPr>
              <w:ind w:firstLine="420" w:firstLineChars="200"/>
              <w:rPr>
                <w:rFonts w:hint="eastAsia" w:eastAsia="宋体"/>
                <w:color w:val="000000"/>
                <w:sz w:val="21"/>
                <w:szCs w:val="21"/>
              </w:rPr>
            </w:pPr>
            <w:r>
              <w:rPr>
                <w:rFonts w:hint="eastAsia" w:eastAsia="宋体"/>
                <w:color w:val="000000"/>
                <w:sz w:val="21"/>
                <w:szCs w:val="21"/>
                <w:lang w:val="en-US" w:eastAsia="zh-CN"/>
              </w:rPr>
              <w:t>4</w:t>
            </w:r>
            <w:r>
              <w:rPr>
                <w:rFonts w:hint="eastAsia" w:eastAsia="宋体"/>
                <w:color w:val="000000"/>
                <w:sz w:val="21"/>
                <w:szCs w:val="21"/>
              </w:rPr>
              <w:t>、</w:t>
            </w:r>
            <w:r>
              <w:rPr>
                <w:rFonts w:hint="eastAsia" w:eastAsia="宋体"/>
                <w:color w:val="000000"/>
                <w:sz w:val="21"/>
                <w:szCs w:val="21"/>
                <w:lang w:val="en-US" w:eastAsia="zh-CN"/>
              </w:rPr>
              <w:t>型号编码</w:t>
            </w:r>
            <w:r>
              <w:rPr>
                <w:rFonts w:hint="eastAsia" w:eastAsia="宋体"/>
                <w:color w:val="000000"/>
                <w:sz w:val="21"/>
                <w:szCs w:val="21"/>
              </w:rPr>
              <w:t xml:space="preserve"> 该部分</w:t>
            </w:r>
            <w:r>
              <w:rPr>
                <w:rFonts w:hint="eastAsia" w:eastAsia="宋体"/>
                <w:color w:val="000000"/>
                <w:sz w:val="21"/>
                <w:szCs w:val="21"/>
                <w:lang w:val="en-US" w:eastAsia="zh-CN"/>
              </w:rPr>
              <w:t>主要对漏磁检测机器人的型号编码进行了规范</w:t>
            </w:r>
            <w:r>
              <w:rPr>
                <w:rFonts w:hint="eastAsia" w:eastAsia="宋体"/>
                <w:color w:val="000000"/>
                <w:sz w:val="21"/>
                <w:szCs w:val="21"/>
              </w:rPr>
              <w:t>。</w:t>
            </w:r>
          </w:p>
          <w:p w14:paraId="460D5600">
            <w:pPr>
              <w:ind w:firstLine="420" w:firstLineChars="200"/>
              <w:rPr>
                <w:rFonts w:hint="eastAsia" w:eastAsia="宋体"/>
                <w:color w:val="000000"/>
                <w:sz w:val="21"/>
                <w:szCs w:val="21"/>
              </w:rPr>
            </w:pPr>
            <w:r>
              <w:rPr>
                <w:rFonts w:hint="eastAsia" w:eastAsia="宋体"/>
                <w:color w:val="000000"/>
                <w:sz w:val="21"/>
                <w:szCs w:val="21"/>
                <w:lang w:val="en-US" w:eastAsia="zh-CN"/>
              </w:rPr>
              <w:t>5</w:t>
            </w:r>
            <w:r>
              <w:rPr>
                <w:rFonts w:hint="eastAsia" w:eastAsia="宋体"/>
                <w:color w:val="000000"/>
                <w:sz w:val="21"/>
                <w:szCs w:val="21"/>
              </w:rPr>
              <w:t>、</w:t>
            </w:r>
            <w:r>
              <w:rPr>
                <w:rFonts w:hint="eastAsia" w:eastAsia="宋体"/>
                <w:color w:val="000000"/>
                <w:sz w:val="21"/>
                <w:szCs w:val="21"/>
                <w:lang w:val="en-US" w:eastAsia="zh-CN"/>
              </w:rPr>
              <w:t>技术</w:t>
            </w:r>
            <w:r>
              <w:rPr>
                <w:rFonts w:hint="eastAsia" w:eastAsia="宋体"/>
                <w:color w:val="000000"/>
                <w:sz w:val="21"/>
                <w:szCs w:val="21"/>
              </w:rPr>
              <w:t xml:space="preserve">要求 </w:t>
            </w:r>
            <w:r>
              <w:rPr>
                <w:rFonts w:hint="eastAsia" w:eastAsia="宋体"/>
                <w:color w:val="000000"/>
                <w:sz w:val="21"/>
                <w:szCs w:val="21"/>
                <w:lang w:val="en-US" w:eastAsia="zh-CN"/>
              </w:rPr>
              <w:t>包括</w:t>
            </w:r>
            <w:r>
              <w:rPr>
                <w:rFonts w:hint="default" w:eastAsia="宋体"/>
                <w:color w:val="000000"/>
                <w:sz w:val="21"/>
                <w:szCs w:val="21"/>
                <w:lang w:val="en-US" w:eastAsia="zh-CN"/>
              </w:rPr>
              <w:t>一般要求</w:t>
            </w:r>
            <w:r>
              <w:rPr>
                <w:rFonts w:hint="eastAsia" w:eastAsia="宋体"/>
                <w:color w:val="000000"/>
                <w:sz w:val="21"/>
                <w:szCs w:val="21"/>
                <w:lang w:val="en-US" w:eastAsia="zh-CN"/>
              </w:rPr>
              <w:t>、</w:t>
            </w:r>
            <w:r>
              <w:rPr>
                <w:rFonts w:hint="default" w:eastAsia="宋体"/>
                <w:color w:val="000000"/>
                <w:sz w:val="21"/>
                <w:szCs w:val="21"/>
                <w:lang w:val="en-US" w:eastAsia="zh-CN"/>
              </w:rPr>
              <w:t>功能要求</w:t>
            </w:r>
            <w:r>
              <w:rPr>
                <w:rFonts w:hint="eastAsia" w:eastAsia="宋体"/>
                <w:color w:val="000000"/>
                <w:sz w:val="21"/>
                <w:szCs w:val="21"/>
                <w:lang w:val="en-US" w:eastAsia="zh-CN"/>
              </w:rPr>
              <w:t>、</w:t>
            </w:r>
            <w:r>
              <w:rPr>
                <w:rFonts w:hint="default" w:eastAsia="宋体"/>
                <w:color w:val="000000"/>
                <w:sz w:val="21"/>
                <w:szCs w:val="21"/>
                <w:lang w:val="en-US" w:eastAsia="zh-CN"/>
              </w:rPr>
              <w:t>性能要求</w:t>
            </w:r>
            <w:r>
              <w:rPr>
                <w:rFonts w:hint="eastAsia" w:eastAsia="宋体"/>
                <w:color w:val="000000"/>
                <w:sz w:val="21"/>
                <w:szCs w:val="21"/>
                <w:lang w:val="en-US" w:eastAsia="zh-CN"/>
              </w:rPr>
              <w:t>、</w:t>
            </w:r>
            <w:bookmarkStart w:id="4" w:name="OLE_LINK37"/>
            <w:r>
              <w:rPr>
                <w:rFonts w:hint="default" w:eastAsia="宋体"/>
                <w:color w:val="000000"/>
                <w:sz w:val="21"/>
                <w:szCs w:val="21"/>
                <w:lang w:val="en-US" w:eastAsia="zh-CN"/>
              </w:rPr>
              <w:t>基本安全要求</w:t>
            </w:r>
            <w:bookmarkEnd w:id="4"/>
            <w:r>
              <w:rPr>
                <w:rFonts w:hint="eastAsia" w:eastAsia="宋体"/>
                <w:color w:val="000000"/>
                <w:sz w:val="21"/>
                <w:szCs w:val="21"/>
                <w:lang w:val="en-US" w:eastAsia="zh-CN"/>
              </w:rPr>
              <w:t>、</w:t>
            </w:r>
            <w:r>
              <w:rPr>
                <w:rFonts w:hint="default" w:eastAsia="宋体"/>
                <w:color w:val="000000"/>
                <w:sz w:val="21"/>
                <w:szCs w:val="21"/>
                <w:lang w:val="en-US" w:eastAsia="zh-CN"/>
              </w:rPr>
              <w:t>环境适用性</w:t>
            </w:r>
            <w:r>
              <w:rPr>
                <w:rFonts w:hint="eastAsia" w:eastAsia="宋体"/>
                <w:color w:val="000000"/>
                <w:sz w:val="21"/>
                <w:szCs w:val="21"/>
                <w:lang w:val="en-US" w:eastAsia="zh-CN"/>
              </w:rPr>
              <w:t>、</w:t>
            </w:r>
            <w:r>
              <w:rPr>
                <w:rFonts w:hint="default" w:eastAsia="宋体"/>
                <w:color w:val="000000"/>
                <w:sz w:val="21"/>
                <w:szCs w:val="21"/>
                <w:lang w:val="en-US" w:eastAsia="zh-CN"/>
              </w:rPr>
              <w:t>数据稳定性</w:t>
            </w:r>
            <w:r>
              <w:rPr>
                <w:rFonts w:hint="eastAsia" w:eastAsia="宋体"/>
                <w:color w:val="000000"/>
                <w:sz w:val="21"/>
                <w:szCs w:val="21"/>
                <w:lang w:val="en-US" w:eastAsia="zh-CN"/>
              </w:rPr>
              <w:t>六个部分；</w:t>
            </w:r>
            <w:r>
              <w:rPr>
                <w:rFonts w:hint="default" w:eastAsia="宋体"/>
                <w:color w:val="000000"/>
                <w:sz w:val="21"/>
                <w:szCs w:val="21"/>
                <w:lang w:val="en-US" w:eastAsia="zh-CN"/>
              </w:rPr>
              <w:t>一般要求</w:t>
            </w:r>
            <w:r>
              <w:rPr>
                <w:rFonts w:hint="eastAsia" w:eastAsia="宋体"/>
                <w:color w:val="000000"/>
                <w:sz w:val="21"/>
                <w:szCs w:val="21"/>
                <w:lang w:val="en-US" w:eastAsia="zh-CN"/>
              </w:rPr>
              <w:t>部分对漏磁检测机器人的系统基本组成，基本能力、结构等进行了规定；</w:t>
            </w:r>
            <w:r>
              <w:rPr>
                <w:rFonts w:hint="default" w:eastAsia="宋体"/>
                <w:color w:val="000000"/>
                <w:sz w:val="21"/>
                <w:szCs w:val="21"/>
                <w:lang w:val="en-US" w:eastAsia="zh-CN"/>
              </w:rPr>
              <w:t>功能要求</w:t>
            </w:r>
            <w:r>
              <w:rPr>
                <w:rFonts w:hint="eastAsia" w:eastAsia="宋体"/>
                <w:color w:val="000000"/>
                <w:sz w:val="21"/>
                <w:szCs w:val="21"/>
                <w:lang w:val="en-US" w:eastAsia="zh-CN"/>
              </w:rPr>
              <w:t>部分详细规定了漏磁检测机器人应具备的功能、能力；</w:t>
            </w:r>
            <w:r>
              <w:rPr>
                <w:rFonts w:hint="default" w:eastAsia="宋体"/>
                <w:color w:val="000000"/>
                <w:sz w:val="21"/>
                <w:szCs w:val="21"/>
                <w:lang w:val="en-US" w:eastAsia="zh-CN"/>
              </w:rPr>
              <w:t>性能要求</w:t>
            </w:r>
            <w:r>
              <w:rPr>
                <w:rFonts w:hint="eastAsia" w:eastAsia="宋体"/>
                <w:color w:val="000000"/>
                <w:sz w:val="21"/>
                <w:szCs w:val="21"/>
                <w:lang w:val="en-US" w:eastAsia="zh-CN"/>
              </w:rPr>
              <w:t>部分对各项功能的性能做出了详细规定；</w:t>
            </w:r>
            <w:r>
              <w:rPr>
                <w:rFonts w:hint="default" w:eastAsia="宋体"/>
                <w:color w:val="000000"/>
                <w:sz w:val="21"/>
                <w:szCs w:val="21"/>
                <w:lang w:val="en-US" w:eastAsia="zh-CN"/>
              </w:rPr>
              <w:t>基本安全要求</w:t>
            </w:r>
            <w:r>
              <w:rPr>
                <w:rFonts w:hint="eastAsia" w:eastAsia="宋体"/>
                <w:color w:val="000000"/>
                <w:sz w:val="21"/>
                <w:szCs w:val="21"/>
                <w:lang w:val="en-US" w:eastAsia="zh-CN"/>
              </w:rPr>
              <w:t>部分对机械安全、</w:t>
            </w:r>
            <w:r>
              <w:rPr>
                <w:rFonts w:hint="default" w:eastAsia="宋体"/>
                <w:color w:val="000000"/>
                <w:sz w:val="21"/>
                <w:szCs w:val="21"/>
                <w:lang w:val="en-US" w:eastAsia="zh-CN"/>
              </w:rPr>
              <w:t>故障防护</w:t>
            </w:r>
            <w:r>
              <w:rPr>
                <w:rFonts w:hint="eastAsia" w:eastAsia="宋体"/>
                <w:color w:val="000000"/>
                <w:sz w:val="21"/>
                <w:szCs w:val="21"/>
                <w:lang w:val="en-US" w:eastAsia="zh-CN"/>
              </w:rPr>
              <w:t>、</w:t>
            </w:r>
            <w:r>
              <w:rPr>
                <w:rFonts w:hint="default" w:eastAsia="宋体"/>
                <w:color w:val="000000"/>
                <w:sz w:val="21"/>
                <w:szCs w:val="21"/>
                <w:lang w:val="en-US" w:eastAsia="zh-CN"/>
              </w:rPr>
              <w:t>电气</w:t>
            </w:r>
            <w:r>
              <w:rPr>
                <w:rFonts w:hint="eastAsia" w:eastAsia="宋体"/>
                <w:color w:val="000000"/>
                <w:sz w:val="21"/>
                <w:szCs w:val="21"/>
                <w:lang w:val="en-US" w:eastAsia="zh-CN"/>
              </w:rPr>
              <w:t>安全等内容进行了规定；</w:t>
            </w:r>
            <w:r>
              <w:rPr>
                <w:rFonts w:hint="default" w:eastAsia="宋体"/>
                <w:color w:val="000000"/>
                <w:sz w:val="21"/>
                <w:szCs w:val="21"/>
                <w:lang w:val="en-US" w:eastAsia="zh-CN"/>
              </w:rPr>
              <w:t>环境适用性</w:t>
            </w:r>
            <w:r>
              <w:rPr>
                <w:rFonts w:hint="eastAsia" w:eastAsia="宋体"/>
                <w:color w:val="000000"/>
                <w:sz w:val="21"/>
                <w:szCs w:val="21"/>
                <w:lang w:val="en-US" w:eastAsia="zh-CN"/>
              </w:rPr>
              <w:t>对漏磁检测机器人正常工作的环境条件进行了规定；</w:t>
            </w:r>
            <w:r>
              <w:rPr>
                <w:rFonts w:hint="default" w:eastAsia="宋体"/>
                <w:color w:val="000000"/>
                <w:sz w:val="21"/>
                <w:szCs w:val="21"/>
                <w:lang w:val="en-US" w:eastAsia="zh-CN"/>
              </w:rPr>
              <w:t>数据稳定性</w:t>
            </w:r>
            <w:r>
              <w:rPr>
                <w:rFonts w:hint="eastAsia" w:eastAsia="宋体"/>
                <w:color w:val="000000"/>
                <w:sz w:val="21"/>
                <w:szCs w:val="21"/>
                <w:lang w:val="en-US" w:eastAsia="zh-CN"/>
              </w:rPr>
              <w:t>对漏磁检测机器人在</w:t>
            </w:r>
            <w:r>
              <w:rPr>
                <w:rFonts w:hint="default" w:eastAsia="宋体"/>
                <w:color w:val="000000"/>
                <w:sz w:val="21"/>
                <w:szCs w:val="21"/>
                <w:lang w:val="en-US" w:eastAsia="zh-CN"/>
              </w:rPr>
              <w:t>电源断电、</w:t>
            </w:r>
            <w:r>
              <w:rPr>
                <w:rFonts w:hint="eastAsia" w:eastAsia="宋体"/>
                <w:color w:val="000000"/>
                <w:sz w:val="21"/>
                <w:szCs w:val="21"/>
                <w:lang w:val="en-US" w:eastAsia="zh-CN"/>
              </w:rPr>
              <w:t>欠</w:t>
            </w:r>
            <w:r>
              <w:rPr>
                <w:rFonts w:hint="default" w:eastAsia="宋体"/>
                <w:color w:val="000000"/>
                <w:sz w:val="21"/>
                <w:szCs w:val="21"/>
                <w:lang w:val="en-US" w:eastAsia="zh-CN"/>
              </w:rPr>
              <w:t>电</w:t>
            </w:r>
            <w:r>
              <w:rPr>
                <w:rFonts w:hint="eastAsia" w:eastAsia="宋体"/>
                <w:color w:val="000000"/>
                <w:sz w:val="21"/>
                <w:szCs w:val="21"/>
                <w:lang w:val="en-US" w:eastAsia="zh-CN"/>
              </w:rPr>
              <w:t>等供电异常</w:t>
            </w:r>
            <w:r>
              <w:rPr>
                <w:rFonts w:hint="default" w:eastAsia="宋体"/>
                <w:color w:val="000000"/>
                <w:sz w:val="21"/>
                <w:szCs w:val="21"/>
                <w:lang w:val="en-US" w:eastAsia="zh-CN"/>
              </w:rPr>
              <w:t>情况下</w:t>
            </w:r>
            <w:r>
              <w:rPr>
                <w:rFonts w:hint="eastAsia" w:eastAsia="宋体"/>
                <w:color w:val="000000"/>
                <w:sz w:val="21"/>
                <w:szCs w:val="21"/>
                <w:lang w:val="en-US" w:eastAsia="zh-CN"/>
              </w:rPr>
              <w:t>的数据保存能力做出了规定</w:t>
            </w:r>
            <w:r>
              <w:rPr>
                <w:rFonts w:hint="eastAsia" w:eastAsia="宋体"/>
                <w:color w:val="000000"/>
                <w:sz w:val="21"/>
                <w:szCs w:val="21"/>
              </w:rPr>
              <w:t>。</w:t>
            </w:r>
          </w:p>
          <w:p w14:paraId="21BA1736">
            <w:pPr>
              <w:ind w:firstLine="420" w:firstLineChars="200"/>
              <w:rPr>
                <w:rFonts w:hint="eastAsia" w:eastAsia="宋体"/>
                <w:color w:val="000000"/>
                <w:sz w:val="21"/>
                <w:szCs w:val="21"/>
              </w:rPr>
            </w:pPr>
            <w:r>
              <w:rPr>
                <w:rFonts w:hint="eastAsia" w:eastAsia="宋体"/>
                <w:color w:val="000000"/>
                <w:sz w:val="21"/>
                <w:szCs w:val="21"/>
                <w:lang w:val="en-US" w:eastAsia="zh-CN"/>
              </w:rPr>
              <w:t>6</w:t>
            </w:r>
            <w:r>
              <w:rPr>
                <w:rFonts w:hint="eastAsia" w:eastAsia="宋体"/>
                <w:color w:val="000000"/>
                <w:sz w:val="21"/>
                <w:szCs w:val="21"/>
              </w:rPr>
              <w:t xml:space="preserve">、 </w:t>
            </w:r>
            <w:r>
              <w:rPr>
                <w:rFonts w:hint="eastAsia" w:eastAsia="宋体"/>
                <w:color w:val="000000"/>
                <w:sz w:val="21"/>
                <w:szCs w:val="21"/>
                <w:lang w:val="en-US" w:eastAsia="zh-CN"/>
              </w:rPr>
              <w:t>试验方法</w:t>
            </w:r>
            <w:r>
              <w:rPr>
                <w:rFonts w:hint="eastAsia" w:eastAsia="宋体"/>
                <w:color w:val="000000"/>
                <w:sz w:val="21"/>
                <w:szCs w:val="21"/>
              </w:rPr>
              <w:t xml:space="preserve"> 主要对</w:t>
            </w:r>
            <w:r>
              <w:rPr>
                <w:rFonts w:hint="eastAsia" w:eastAsia="宋体"/>
                <w:color w:val="000000"/>
                <w:sz w:val="21"/>
                <w:szCs w:val="21"/>
                <w:lang w:val="en-US" w:eastAsia="zh-CN"/>
              </w:rPr>
              <w:t>漏磁检测机器人</w:t>
            </w:r>
            <w:r>
              <w:rPr>
                <w:rFonts w:hint="default" w:eastAsia="宋体"/>
                <w:color w:val="000000"/>
                <w:sz w:val="21"/>
                <w:szCs w:val="21"/>
                <w:lang w:val="en-US" w:eastAsia="zh-CN"/>
              </w:rPr>
              <w:t>外观和结构检验</w:t>
            </w:r>
            <w:r>
              <w:rPr>
                <w:rFonts w:hint="eastAsia" w:eastAsia="宋体"/>
                <w:color w:val="000000"/>
                <w:sz w:val="21"/>
                <w:szCs w:val="21"/>
                <w:lang w:val="en-US" w:eastAsia="zh-CN"/>
              </w:rPr>
              <w:t>、</w:t>
            </w:r>
            <w:r>
              <w:rPr>
                <w:rFonts w:hint="default" w:eastAsia="宋体"/>
                <w:color w:val="000000"/>
                <w:sz w:val="21"/>
                <w:szCs w:val="21"/>
                <w:lang w:val="en-US" w:eastAsia="zh-CN"/>
              </w:rPr>
              <w:t>功能检查</w:t>
            </w:r>
            <w:r>
              <w:rPr>
                <w:rFonts w:hint="eastAsia" w:eastAsia="宋体"/>
                <w:color w:val="000000"/>
                <w:sz w:val="21"/>
                <w:szCs w:val="21"/>
                <w:lang w:val="en-US" w:eastAsia="zh-CN"/>
              </w:rPr>
              <w:t>、</w:t>
            </w:r>
            <w:r>
              <w:rPr>
                <w:rFonts w:hint="default" w:eastAsia="宋体"/>
                <w:color w:val="000000"/>
                <w:sz w:val="21"/>
                <w:szCs w:val="21"/>
                <w:lang w:val="en-US" w:eastAsia="zh-CN"/>
              </w:rPr>
              <w:t>运动能力试验</w:t>
            </w:r>
            <w:r>
              <w:rPr>
                <w:rFonts w:hint="eastAsia" w:eastAsia="宋体"/>
                <w:color w:val="000000"/>
                <w:sz w:val="21"/>
                <w:szCs w:val="21"/>
                <w:lang w:val="en-US" w:eastAsia="zh-CN"/>
              </w:rPr>
              <w:t>、</w:t>
            </w:r>
            <w:r>
              <w:rPr>
                <w:rFonts w:hint="default" w:eastAsia="宋体"/>
                <w:color w:val="000000"/>
                <w:sz w:val="21"/>
                <w:szCs w:val="21"/>
                <w:lang w:val="en-US" w:eastAsia="zh-CN"/>
              </w:rPr>
              <w:t>漏磁检测</w:t>
            </w:r>
            <w:r>
              <w:rPr>
                <w:rFonts w:hint="eastAsia" w:eastAsia="宋体"/>
                <w:color w:val="000000"/>
                <w:sz w:val="21"/>
                <w:szCs w:val="21"/>
                <w:lang w:val="en-US" w:eastAsia="zh-CN"/>
              </w:rPr>
              <w:t>性能</w:t>
            </w:r>
            <w:r>
              <w:rPr>
                <w:rFonts w:hint="default" w:eastAsia="宋体"/>
                <w:color w:val="000000"/>
                <w:sz w:val="21"/>
                <w:szCs w:val="21"/>
                <w:lang w:val="en-US" w:eastAsia="zh-CN"/>
              </w:rPr>
              <w:t>试验</w:t>
            </w:r>
            <w:r>
              <w:rPr>
                <w:rFonts w:hint="eastAsia" w:eastAsia="宋体"/>
                <w:color w:val="000000"/>
                <w:sz w:val="21"/>
                <w:szCs w:val="21"/>
                <w:lang w:val="en-US" w:eastAsia="zh-CN"/>
              </w:rPr>
              <w:t>、</w:t>
            </w:r>
            <w:r>
              <w:rPr>
                <w:rFonts w:hint="default" w:eastAsia="宋体"/>
                <w:color w:val="000000"/>
                <w:sz w:val="21"/>
                <w:szCs w:val="21"/>
                <w:lang w:val="en-US" w:eastAsia="zh-CN"/>
              </w:rPr>
              <w:t>电气安全</w:t>
            </w:r>
            <w:r>
              <w:rPr>
                <w:rFonts w:hint="eastAsia" w:eastAsia="宋体"/>
                <w:color w:val="000000"/>
                <w:sz w:val="21"/>
                <w:szCs w:val="21"/>
                <w:lang w:val="en-US" w:eastAsia="zh-CN"/>
              </w:rPr>
              <w:t>等的试验方法</w:t>
            </w:r>
            <w:r>
              <w:rPr>
                <w:rFonts w:hint="eastAsia" w:eastAsia="宋体"/>
                <w:color w:val="000000"/>
                <w:sz w:val="21"/>
                <w:szCs w:val="21"/>
              </w:rPr>
              <w:t>进行了</w:t>
            </w:r>
            <w:r>
              <w:rPr>
                <w:rFonts w:hint="eastAsia" w:eastAsia="宋体"/>
                <w:color w:val="000000"/>
                <w:sz w:val="21"/>
                <w:szCs w:val="21"/>
                <w:lang w:val="en-US" w:eastAsia="zh-CN"/>
              </w:rPr>
              <w:t>规定</w:t>
            </w:r>
            <w:r>
              <w:rPr>
                <w:rFonts w:hint="eastAsia" w:eastAsia="宋体"/>
                <w:color w:val="000000"/>
                <w:sz w:val="21"/>
                <w:szCs w:val="21"/>
              </w:rPr>
              <w:t>。</w:t>
            </w:r>
          </w:p>
          <w:p w14:paraId="1150F77C">
            <w:pPr>
              <w:ind w:firstLine="420" w:firstLineChars="200"/>
              <w:rPr>
                <w:rFonts w:hint="eastAsia" w:eastAsia="宋体"/>
                <w:color w:val="000000"/>
                <w:sz w:val="21"/>
                <w:szCs w:val="21"/>
              </w:rPr>
            </w:pPr>
            <w:r>
              <w:rPr>
                <w:rFonts w:hint="eastAsia" w:eastAsia="宋体"/>
                <w:color w:val="000000"/>
                <w:sz w:val="21"/>
                <w:szCs w:val="21"/>
                <w:lang w:val="en-US" w:eastAsia="zh-CN"/>
              </w:rPr>
              <w:t>7</w:t>
            </w:r>
            <w:r>
              <w:rPr>
                <w:rFonts w:hint="eastAsia" w:eastAsia="宋体"/>
                <w:color w:val="000000"/>
                <w:sz w:val="21"/>
                <w:szCs w:val="21"/>
              </w:rPr>
              <w:t>、 检验</w:t>
            </w:r>
            <w:r>
              <w:rPr>
                <w:rFonts w:hint="eastAsia" w:eastAsia="宋体"/>
                <w:color w:val="000000"/>
                <w:sz w:val="21"/>
                <w:szCs w:val="21"/>
                <w:lang w:val="en-US" w:eastAsia="zh-CN"/>
              </w:rPr>
              <w:t>规则</w:t>
            </w:r>
            <w:r>
              <w:rPr>
                <w:rFonts w:hint="eastAsia" w:eastAsia="宋体"/>
                <w:color w:val="000000"/>
                <w:sz w:val="21"/>
                <w:szCs w:val="21"/>
              </w:rPr>
              <w:t xml:space="preserve"> 该部分规定</w:t>
            </w:r>
            <w:r>
              <w:rPr>
                <w:rFonts w:hint="eastAsia" w:eastAsia="宋体"/>
                <w:color w:val="000000"/>
                <w:sz w:val="21"/>
                <w:szCs w:val="21"/>
                <w:lang w:val="en-US" w:eastAsia="zh-CN"/>
              </w:rPr>
              <w:t>了漏磁检测机器人出厂检验及型式试验</w:t>
            </w:r>
            <w:r>
              <w:rPr>
                <w:rFonts w:hint="eastAsia" w:eastAsia="宋体"/>
                <w:color w:val="000000"/>
                <w:sz w:val="21"/>
                <w:szCs w:val="21"/>
              </w:rPr>
              <w:t>的项目、 内容</w:t>
            </w:r>
            <w:r>
              <w:rPr>
                <w:rFonts w:hint="eastAsia" w:eastAsia="宋体"/>
                <w:color w:val="000000"/>
                <w:sz w:val="21"/>
                <w:szCs w:val="21"/>
                <w:lang w:val="en-US" w:eastAsia="zh-CN"/>
              </w:rPr>
              <w:t>和</w:t>
            </w:r>
            <w:r>
              <w:rPr>
                <w:rFonts w:hint="eastAsia" w:eastAsia="宋体"/>
                <w:color w:val="000000"/>
                <w:sz w:val="21"/>
                <w:szCs w:val="21"/>
              </w:rPr>
              <w:t>要求。</w:t>
            </w:r>
          </w:p>
          <w:p w14:paraId="1594E92E">
            <w:pPr>
              <w:ind w:firstLine="420" w:firstLineChars="200"/>
              <w:rPr>
                <w:rFonts w:hint="default" w:eastAsia="宋体"/>
                <w:color w:val="000000"/>
                <w:sz w:val="21"/>
                <w:szCs w:val="21"/>
              </w:rPr>
            </w:pPr>
            <w:r>
              <w:rPr>
                <w:rFonts w:hint="eastAsia" w:eastAsia="宋体"/>
                <w:color w:val="000000"/>
                <w:sz w:val="21"/>
                <w:szCs w:val="21"/>
                <w:lang w:val="en-US" w:eastAsia="zh-CN"/>
              </w:rPr>
              <w:t>8</w:t>
            </w:r>
            <w:r>
              <w:rPr>
                <w:rFonts w:hint="eastAsia" w:eastAsia="宋体"/>
                <w:color w:val="000000"/>
                <w:sz w:val="21"/>
                <w:szCs w:val="21"/>
              </w:rPr>
              <w:t>、 标志、包装、运输和贮存</w:t>
            </w:r>
            <w:r>
              <w:rPr>
                <w:rFonts w:hint="eastAsia" w:eastAsia="宋体"/>
                <w:color w:val="000000"/>
                <w:sz w:val="21"/>
                <w:szCs w:val="21"/>
                <w:lang w:val="en-US" w:eastAsia="zh-CN"/>
              </w:rPr>
              <w:t xml:space="preserve"> </w:t>
            </w:r>
            <w:r>
              <w:rPr>
                <w:rFonts w:hint="eastAsia" w:eastAsia="宋体"/>
                <w:color w:val="000000"/>
                <w:sz w:val="21"/>
                <w:szCs w:val="21"/>
              </w:rPr>
              <w:t>该部分规范</w:t>
            </w:r>
            <w:r>
              <w:rPr>
                <w:rFonts w:hint="eastAsia" w:eastAsia="宋体"/>
                <w:color w:val="000000"/>
                <w:sz w:val="21"/>
                <w:szCs w:val="21"/>
                <w:lang w:val="en-US" w:eastAsia="zh-CN"/>
              </w:rPr>
              <w:t>了漏磁检测机器人</w:t>
            </w:r>
            <w:r>
              <w:rPr>
                <w:rFonts w:hint="eastAsia" w:eastAsia="宋体"/>
                <w:color w:val="000000"/>
                <w:sz w:val="21"/>
                <w:szCs w:val="21"/>
              </w:rPr>
              <w:t>制造出厂</w:t>
            </w:r>
            <w:r>
              <w:rPr>
                <w:rFonts w:hint="eastAsia" w:eastAsia="宋体"/>
                <w:color w:val="000000"/>
                <w:sz w:val="21"/>
                <w:szCs w:val="21"/>
                <w:lang w:val="en-US" w:eastAsia="zh-CN"/>
              </w:rPr>
              <w:t>的</w:t>
            </w:r>
            <w:r>
              <w:rPr>
                <w:rFonts w:hint="eastAsia" w:eastAsia="宋体"/>
                <w:color w:val="000000"/>
                <w:sz w:val="21"/>
                <w:szCs w:val="21"/>
              </w:rPr>
              <w:t>标志、包装</w:t>
            </w:r>
            <w:r>
              <w:rPr>
                <w:rFonts w:hint="eastAsia" w:eastAsia="宋体"/>
                <w:color w:val="000000"/>
                <w:sz w:val="21"/>
                <w:szCs w:val="21"/>
                <w:lang w:val="en-US" w:eastAsia="zh-CN"/>
              </w:rPr>
              <w:t>与</w:t>
            </w:r>
            <w:r>
              <w:rPr>
                <w:rFonts w:hint="eastAsia" w:eastAsia="宋体"/>
                <w:color w:val="000000"/>
                <w:sz w:val="21"/>
                <w:szCs w:val="21"/>
              </w:rPr>
              <w:t>运输</w:t>
            </w:r>
            <w:r>
              <w:rPr>
                <w:rFonts w:hint="eastAsia" w:eastAsia="宋体"/>
                <w:color w:val="000000"/>
                <w:sz w:val="21"/>
                <w:szCs w:val="21"/>
                <w:lang w:eastAsia="zh-CN"/>
              </w:rPr>
              <w:t>、</w:t>
            </w:r>
            <w:r>
              <w:rPr>
                <w:rFonts w:hint="eastAsia" w:eastAsia="宋体"/>
                <w:color w:val="000000"/>
                <w:sz w:val="21"/>
                <w:szCs w:val="21"/>
              </w:rPr>
              <w:t>贮存</w:t>
            </w:r>
            <w:r>
              <w:rPr>
                <w:rFonts w:hint="eastAsia" w:eastAsia="宋体"/>
                <w:color w:val="000000"/>
                <w:sz w:val="21"/>
                <w:szCs w:val="21"/>
                <w:lang w:val="en-US" w:eastAsia="zh-CN"/>
              </w:rPr>
              <w:t>的相关要求</w:t>
            </w:r>
            <w:r>
              <w:rPr>
                <w:rFonts w:hint="eastAsia" w:eastAsia="宋体"/>
                <w:color w:val="000000"/>
                <w:sz w:val="21"/>
                <w:szCs w:val="21"/>
              </w:rPr>
              <w:t>。</w:t>
            </w:r>
          </w:p>
          <w:p w14:paraId="33E03C6C">
            <w:pPr>
              <w:ind w:firstLine="420" w:firstLineChars="200"/>
              <w:rPr>
                <w:rFonts w:eastAsia="等线" w:cs="等线"/>
                <w:color w:val="000000"/>
                <w:sz w:val="21"/>
                <w:szCs w:val="21"/>
              </w:rPr>
            </w:pPr>
          </w:p>
        </w:tc>
      </w:tr>
      <w:tr w14:paraId="362F9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4"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500DA2E9">
            <w:pPr>
              <w:jc w:val="left"/>
              <w:rPr>
                <w:rFonts w:eastAsia="等线" w:cs="等线"/>
                <w:color w:val="000000"/>
                <w:sz w:val="21"/>
                <w:szCs w:val="21"/>
              </w:rPr>
            </w:pPr>
            <w:r>
              <w:rPr>
                <w:rFonts w:hint="eastAsia" w:eastAsia="等线" w:cs="等线"/>
                <w:b/>
                <w:color w:val="000000"/>
                <w:sz w:val="21"/>
                <w:szCs w:val="21"/>
              </w:rPr>
              <w:t>5、验证情况（适用时填写）</w:t>
            </w:r>
          </w:p>
        </w:tc>
      </w:tr>
      <w:tr w14:paraId="715EC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06" w:hRule="atLeast"/>
        </w:trPr>
        <w:tc>
          <w:tcPr>
            <w:tcW w:w="1688" w:type="dxa"/>
            <w:vMerge w:val="restart"/>
            <w:tcBorders>
              <w:top w:val="single" w:color="auto" w:sz="6" w:space="0"/>
              <w:left w:val="single" w:color="auto" w:sz="4" w:space="0"/>
              <w:bottom w:val="single" w:color="auto" w:sz="6" w:space="0"/>
              <w:right w:val="single" w:color="auto" w:sz="4" w:space="0"/>
            </w:tcBorders>
            <w:vAlign w:val="center"/>
          </w:tcPr>
          <w:p w14:paraId="5AAC3A8E">
            <w:pPr>
              <w:jc w:val="center"/>
              <w:rPr>
                <w:rFonts w:eastAsia="等线" w:cs="等线"/>
                <w:b/>
                <w:color w:val="000000"/>
                <w:sz w:val="21"/>
                <w:szCs w:val="21"/>
              </w:rPr>
            </w:pPr>
            <w:r>
              <w:rPr>
                <w:rFonts w:hint="eastAsia" w:eastAsia="等线" w:cs="等线"/>
                <w:color w:val="000000"/>
                <w:sz w:val="21"/>
                <w:szCs w:val="21"/>
              </w:rPr>
              <w:t>5.1 验证单位情况</w:t>
            </w:r>
          </w:p>
        </w:tc>
        <w:tc>
          <w:tcPr>
            <w:tcW w:w="3172" w:type="dxa"/>
            <w:gridSpan w:val="5"/>
            <w:tcBorders>
              <w:top w:val="single" w:color="auto" w:sz="6" w:space="0"/>
              <w:left w:val="single" w:color="auto" w:sz="4" w:space="0"/>
              <w:bottom w:val="single" w:color="auto" w:sz="6" w:space="0"/>
              <w:right w:val="single" w:color="auto" w:sz="4" w:space="0"/>
            </w:tcBorders>
            <w:vAlign w:val="center"/>
          </w:tcPr>
          <w:p w14:paraId="1C4F45EF">
            <w:pPr>
              <w:jc w:val="center"/>
              <w:rPr>
                <w:rFonts w:eastAsia="等线" w:cs="等线"/>
                <w:color w:val="000000"/>
                <w:sz w:val="21"/>
                <w:szCs w:val="21"/>
              </w:rPr>
            </w:pPr>
            <w:r>
              <w:rPr>
                <w:rFonts w:hint="eastAsia" w:eastAsia="等线" w:cs="等线"/>
                <w:color w:val="000000"/>
                <w:sz w:val="21"/>
                <w:szCs w:val="21"/>
              </w:rPr>
              <w:t>验证单位</w:t>
            </w:r>
          </w:p>
        </w:tc>
        <w:tc>
          <w:tcPr>
            <w:tcW w:w="1950" w:type="dxa"/>
            <w:gridSpan w:val="4"/>
            <w:tcBorders>
              <w:top w:val="single" w:color="auto" w:sz="6" w:space="0"/>
              <w:left w:val="single" w:color="auto" w:sz="4" w:space="0"/>
              <w:bottom w:val="single" w:color="auto" w:sz="6" w:space="0"/>
              <w:right w:val="single" w:color="auto" w:sz="4" w:space="0"/>
            </w:tcBorders>
            <w:vAlign w:val="center"/>
          </w:tcPr>
          <w:p w14:paraId="283AAE54">
            <w:pPr>
              <w:jc w:val="center"/>
              <w:rPr>
                <w:rFonts w:eastAsia="等线" w:cs="等线"/>
                <w:color w:val="000000"/>
                <w:sz w:val="21"/>
                <w:szCs w:val="21"/>
              </w:rPr>
            </w:pPr>
            <w:r>
              <w:rPr>
                <w:rFonts w:hint="eastAsia" w:eastAsia="等线" w:cs="等线"/>
                <w:color w:val="000000"/>
                <w:sz w:val="21"/>
                <w:szCs w:val="21"/>
              </w:rPr>
              <w:t>验证人员</w:t>
            </w:r>
          </w:p>
        </w:tc>
        <w:tc>
          <w:tcPr>
            <w:tcW w:w="2209" w:type="dxa"/>
            <w:tcBorders>
              <w:top w:val="single" w:color="auto" w:sz="6" w:space="0"/>
              <w:left w:val="single" w:color="auto" w:sz="4" w:space="0"/>
              <w:bottom w:val="single" w:color="auto" w:sz="6" w:space="0"/>
              <w:right w:val="single" w:color="auto" w:sz="4" w:space="0"/>
            </w:tcBorders>
            <w:vAlign w:val="center"/>
          </w:tcPr>
          <w:p w14:paraId="6E3E9172">
            <w:pPr>
              <w:jc w:val="center"/>
              <w:rPr>
                <w:rFonts w:eastAsia="等线" w:cs="等线"/>
                <w:color w:val="000000"/>
                <w:sz w:val="21"/>
                <w:szCs w:val="21"/>
              </w:rPr>
            </w:pPr>
            <w:r>
              <w:rPr>
                <w:rFonts w:hint="eastAsia" w:eastAsia="等线" w:cs="等线"/>
                <w:color w:val="000000"/>
                <w:sz w:val="21"/>
                <w:szCs w:val="21"/>
              </w:rPr>
              <w:t>验证时间</w:t>
            </w:r>
          </w:p>
        </w:tc>
      </w:tr>
      <w:tr w14:paraId="2EB1F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2" w:hRule="atLeast"/>
        </w:trPr>
        <w:tc>
          <w:tcPr>
            <w:tcW w:w="1688" w:type="dxa"/>
            <w:vMerge w:val="continue"/>
            <w:tcBorders>
              <w:top w:val="single" w:color="auto" w:sz="6" w:space="0"/>
              <w:left w:val="single" w:color="auto" w:sz="4" w:space="0"/>
              <w:bottom w:val="single" w:color="auto" w:sz="6" w:space="0"/>
              <w:right w:val="single" w:color="auto" w:sz="4" w:space="0"/>
            </w:tcBorders>
            <w:vAlign w:val="center"/>
          </w:tcPr>
          <w:p w14:paraId="5BFDF1E7">
            <w:pPr>
              <w:widowControl/>
              <w:jc w:val="left"/>
              <w:rPr>
                <w:rFonts w:eastAsia="等线" w:cs="等线"/>
                <w:b/>
                <w:color w:val="000000"/>
                <w:sz w:val="21"/>
                <w:szCs w:val="21"/>
              </w:rPr>
            </w:pPr>
          </w:p>
        </w:tc>
        <w:tc>
          <w:tcPr>
            <w:tcW w:w="3172" w:type="dxa"/>
            <w:gridSpan w:val="5"/>
            <w:tcBorders>
              <w:top w:val="single" w:color="auto" w:sz="6" w:space="0"/>
              <w:left w:val="single" w:color="auto" w:sz="4" w:space="0"/>
              <w:bottom w:val="single" w:color="auto" w:sz="6" w:space="0"/>
              <w:right w:val="single" w:color="auto" w:sz="4" w:space="0"/>
            </w:tcBorders>
            <w:vAlign w:val="center"/>
          </w:tcPr>
          <w:p w14:paraId="38360AC1">
            <w:pPr>
              <w:jc w:val="center"/>
              <w:rPr>
                <w:rFonts w:eastAsia="等线" w:cs="等线"/>
                <w:color w:val="000000"/>
                <w:sz w:val="21"/>
                <w:szCs w:val="21"/>
              </w:rPr>
            </w:pPr>
            <w:r>
              <w:rPr>
                <w:rFonts w:hint="eastAsia" w:eastAsia="宋体"/>
                <w:color w:val="000000"/>
                <w:sz w:val="21"/>
                <w:szCs w:val="21"/>
                <w:lang w:eastAsia="zh-CN"/>
              </w:rPr>
              <w:t>江苏省特种设备安全监督检验研究院、西红柿科技（武汉）有限公司、安徽华夏高科技开发有限责任公司、</w:t>
            </w:r>
            <w:r>
              <w:rPr>
                <w:rFonts w:hint="eastAsia" w:eastAsia="宋体"/>
                <w:color w:val="000000"/>
                <w:sz w:val="21"/>
                <w:szCs w:val="21"/>
              </w:rPr>
              <w:t>广东省特种设备检测研究院顺德检测院</w:t>
            </w:r>
            <w:r>
              <w:rPr>
                <w:rFonts w:hint="eastAsia" w:eastAsia="宋体"/>
                <w:color w:val="000000"/>
                <w:sz w:val="21"/>
                <w:szCs w:val="21"/>
                <w:lang w:eastAsia="zh-CN"/>
              </w:rPr>
              <w:t>、江西省检验检测认证总院特种设备检验检测研究院</w:t>
            </w:r>
          </w:p>
        </w:tc>
        <w:tc>
          <w:tcPr>
            <w:tcW w:w="1950" w:type="dxa"/>
            <w:gridSpan w:val="4"/>
            <w:tcBorders>
              <w:top w:val="single" w:color="auto" w:sz="6" w:space="0"/>
              <w:left w:val="single" w:color="auto" w:sz="4" w:space="0"/>
              <w:bottom w:val="single" w:color="auto" w:sz="6" w:space="0"/>
              <w:right w:val="single" w:color="auto" w:sz="4" w:space="0"/>
            </w:tcBorders>
            <w:vAlign w:val="center"/>
          </w:tcPr>
          <w:p w14:paraId="0C474DCE">
            <w:pPr>
              <w:jc w:val="left"/>
              <w:rPr>
                <w:rFonts w:hint="default" w:eastAsia="等线" w:cs="等线"/>
                <w:color w:val="000000"/>
                <w:sz w:val="21"/>
                <w:szCs w:val="21"/>
                <w:lang w:val="en-US"/>
              </w:rPr>
            </w:pPr>
            <w:r>
              <w:rPr>
                <w:rFonts w:hint="eastAsia" w:eastAsia="宋体"/>
                <w:color w:val="000000"/>
                <w:sz w:val="21"/>
                <w:szCs w:val="21"/>
                <w:lang w:eastAsia="zh-CN"/>
              </w:rPr>
              <w:t>蒋利伟、吴  军、王  康、李  寰、张炳雷、刘  伟、</w:t>
            </w:r>
            <w:r>
              <w:rPr>
                <w:rFonts w:hint="eastAsia" w:eastAsia="宋体"/>
                <w:color w:val="000000"/>
                <w:sz w:val="21"/>
                <w:szCs w:val="21"/>
                <w:lang w:val="en-US" w:eastAsia="zh-CN"/>
              </w:rPr>
              <w:t>龚华、王子豪、凌威</w:t>
            </w:r>
          </w:p>
        </w:tc>
        <w:tc>
          <w:tcPr>
            <w:tcW w:w="2209" w:type="dxa"/>
            <w:tcBorders>
              <w:top w:val="single" w:color="auto" w:sz="6" w:space="0"/>
              <w:left w:val="single" w:color="auto" w:sz="4" w:space="0"/>
              <w:bottom w:val="single" w:color="auto" w:sz="6" w:space="0"/>
              <w:right w:val="single" w:color="auto" w:sz="4" w:space="0"/>
            </w:tcBorders>
            <w:vAlign w:val="center"/>
          </w:tcPr>
          <w:p w14:paraId="26809A73">
            <w:pPr>
              <w:jc w:val="center"/>
              <w:rPr>
                <w:rFonts w:eastAsia="等线" w:cs="等线"/>
                <w:color w:val="000000"/>
                <w:sz w:val="21"/>
                <w:szCs w:val="21"/>
              </w:rPr>
            </w:pPr>
            <w:r>
              <w:rPr>
                <w:rFonts w:hint="eastAsia" w:eastAsia="等线" w:cs="等线"/>
                <w:color w:val="000000"/>
                <w:sz w:val="21"/>
                <w:szCs w:val="21"/>
              </w:rPr>
              <w:t xml:space="preserve"> </w:t>
            </w:r>
            <w:r>
              <w:rPr>
                <w:rFonts w:hint="eastAsia" w:eastAsia="宋体"/>
                <w:color w:val="000000"/>
                <w:sz w:val="21"/>
                <w:szCs w:val="21"/>
              </w:rPr>
              <w:t>2025年12月4日—5日</w:t>
            </w:r>
          </w:p>
        </w:tc>
      </w:tr>
      <w:tr w14:paraId="2C4AA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04" w:hRule="atLeast"/>
        </w:trPr>
        <w:tc>
          <w:tcPr>
            <w:tcW w:w="1688" w:type="dxa"/>
            <w:vMerge w:val="continue"/>
            <w:tcBorders>
              <w:top w:val="single" w:color="auto" w:sz="6" w:space="0"/>
              <w:left w:val="single" w:color="auto" w:sz="4" w:space="0"/>
              <w:bottom w:val="single" w:color="auto" w:sz="6" w:space="0"/>
              <w:right w:val="single" w:color="auto" w:sz="4" w:space="0"/>
            </w:tcBorders>
            <w:vAlign w:val="center"/>
          </w:tcPr>
          <w:p w14:paraId="66705DD7">
            <w:pPr>
              <w:widowControl/>
              <w:jc w:val="left"/>
              <w:rPr>
                <w:rFonts w:eastAsia="等线" w:cs="等线"/>
                <w:b/>
                <w:color w:val="000000"/>
                <w:sz w:val="21"/>
                <w:szCs w:val="21"/>
              </w:rPr>
            </w:pPr>
          </w:p>
        </w:tc>
        <w:tc>
          <w:tcPr>
            <w:tcW w:w="3172" w:type="dxa"/>
            <w:gridSpan w:val="5"/>
            <w:tcBorders>
              <w:top w:val="single" w:color="auto" w:sz="6" w:space="0"/>
              <w:left w:val="single" w:color="auto" w:sz="4" w:space="0"/>
              <w:bottom w:val="single" w:color="auto" w:sz="6" w:space="0"/>
              <w:right w:val="single" w:color="auto" w:sz="4" w:space="0"/>
            </w:tcBorders>
            <w:vAlign w:val="center"/>
          </w:tcPr>
          <w:p w14:paraId="7FCCE3A2">
            <w:pPr>
              <w:jc w:val="left"/>
              <w:rPr>
                <w:rFonts w:eastAsia="等线" w:cs="等线"/>
                <w:color w:val="000000"/>
                <w:sz w:val="21"/>
                <w:szCs w:val="21"/>
              </w:rPr>
            </w:pPr>
            <w:r>
              <w:rPr>
                <w:rFonts w:hint="eastAsia" w:eastAsia="宋体"/>
                <w:color w:val="000000"/>
                <w:sz w:val="21"/>
                <w:szCs w:val="21"/>
                <w:lang w:eastAsia="zh-CN"/>
              </w:rPr>
              <w:t>西红柿科技（武汉）有限公司、武汉华宇一目检测装备有限公司、中石化管道技术服务有限公司</w:t>
            </w:r>
            <w:r>
              <w:rPr>
                <w:rFonts w:hint="eastAsia" w:eastAsia="宋体"/>
                <w:color w:val="000000"/>
                <w:sz w:val="21"/>
                <w:szCs w:val="21"/>
                <w:highlight w:val="none"/>
                <w:lang w:eastAsia="zh-CN"/>
              </w:rPr>
              <w:t>、</w:t>
            </w:r>
            <w:r>
              <w:rPr>
                <w:rFonts w:hint="eastAsia" w:eastAsia="宋体"/>
                <w:color w:val="000000"/>
                <w:sz w:val="21"/>
                <w:szCs w:val="21"/>
                <w:highlight w:val="none"/>
              </w:rPr>
              <w:t>广东省特种设备检测研究院</w:t>
            </w:r>
            <w:r>
              <w:rPr>
                <w:rFonts w:hint="eastAsia" w:eastAsia="宋体"/>
                <w:color w:val="000000"/>
                <w:sz w:val="21"/>
                <w:szCs w:val="21"/>
                <w:lang w:eastAsia="zh-CN"/>
              </w:rPr>
              <w:t>、深圳市中昌探伤器材有限公司</w:t>
            </w:r>
          </w:p>
        </w:tc>
        <w:tc>
          <w:tcPr>
            <w:tcW w:w="1950" w:type="dxa"/>
            <w:gridSpan w:val="4"/>
            <w:tcBorders>
              <w:top w:val="single" w:color="auto" w:sz="6" w:space="0"/>
              <w:left w:val="single" w:color="auto" w:sz="4" w:space="0"/>
              <w:bottom w:val="single" w:color="auto" w:sz="6" w:space="0"/>
              <w:right w:val="single" w:color="auto" w:sz="4" w:space="0"/>
            </w:tcBorders>
            <w:vAlign w:val="center"/>
          </w:tcPr>
          <w:p w14:paraId="7245B895">
            <w:pPr>
              <w:jc w:val="left"/>
              <w:rPr>
                <w:rFonts w:eastAsia="等线" w:cs="等线"/>
                <w:color w:val="000000"/>
                <w:sz w:val="21"/>
                <w:szCs w:val="21"/>
              </w:rPr>
            </w:pPr>
            <w:r>
              <w:rPr>
                <w:rFonts w:hint="eastAsia" w:eastAsia="宋体"/>
                <w:color w:val="000000"/>
                <w:sz w:val="21"/>
                <w:szCs w:val="21"/>
                <w:lang w:eastAsia="zh-CN"/>
              </w:rPr>
              <w:t>王  康、</w:t>
            </w:r>
            <w:r>
              <w:rPr>
                <w:rFonts w:hint="eastAsia" w:eastAsia="宋体"/>
                <w:color w:val="000000"/>
                <w:sz w:val="21"/>
                <w:szCs w:val="21"/>
                <w:lang w:val="en-US" w:eastAsia="zh-CN"/>
              </w:rPr>
              <w:t>康宜华</w:t>
            </w:r>
            <w:r>
              <w:rPr>
                <w:rFonts w:hint="eastAsia" w:eastAsia="宋体"/>
                <w:color w:val="000000"/>
                <w:sz w:val="21"/>
                <w:szCs w:val="21"/>
                <w:lang w:eastAsia="zh-CN"/>
              </w:rPr>
              <w:t>、王泽浩、刘  瑾、</w:t>
            </w:r>
            <w:r>
              <w:rPr>
                <w:rFonts w:hint="eastAsia" w:eastAsia="宋体"/>
                <w:color w:val="000000"/>
                <w:sz w:val="21"/>
                <w:szCs w:val="21"/>
                <w:highlight w:val="none"/>
                <w:lang w:eastAsia="zh-CN"/>
              </w:rPr>
              <w:t>陈文明、</w:t>
            </w:r>
            <w:r>
              <w:rPr>
                <w:rFonts w:hint="eastAsia" w:eastAsia="宋体"/>
                <w:color w:val="000000"/>
                <w:sz w:val="21"/>
                <w:szCs w:val="21"/>
                <w:highlight w:val="none"/>
                <w:lang w:val="en-US" w:eastAsia="zh-CN"/>
              </w:rPr>
              <w:t>郭泽锐、</w:t>
            </w:r>
            <w:r>
              <w:rPr>
                <w:rFonts w:hint="eastAsia" w:eastAsia="宋体"/>
                <w:color w:val="000000"/>
                <w:sz w:val="21"/>
                <w:szCs w:val="21"/>
                <w:lang w:val="en-US" w:eastAsia="zh-CN"/>
              </w:rPr>
              <w:t>龚华、</w:t>
            </w:r>
            <w:r>
              <w:rPr>
                <w:rFonts w:hint="eastAsia" w:eastAsia="宋体"/>
                <w:color w:val="000000"/>
                <w:sz w:val="21"/>
                <w:szCs w:val="21"/>
                <w:highlight w:val="none"/>
                <w:lang w:eastAsia="zh-CN"/>
              </w:rPr>
              <w:t>刘亮岐、</w:t>
            </w:r>
            <w:r>
              <w:rPr>
                <w:rFonts w:hint="eastAsia" w:eastAsia="宋体"/>
                <w:color w:val="000000"/>
                <w:sz w:val="21"/>
                <w:szCs w:val="21"/>
                <w:lang w:eastAsia="zh-CN"/>
              </w:rPr>
              <w:t>唐经源</w:t>
            </w:r>
          </w:p>
        </w:tc>
        <w:tc>
          <w:tcPr>
            <w:tcW w:w="2209" w:type="dxa"/>
            <w:tcBorders>
              <w:top w:val="single" w:color="auto" w:sz="6" w:space="0"/>
              <w:left w:val="single" w:color="auto" w:sz="4" w:space="0"/>
              <w:bottom w:val="single" w:color="auto" w:sz="6" w:space="0"/>
              <w:right w:val="single" w:color="auto" w:sz="4" w:space="0"/>
            </w:tcBorders>
            <w:vAlign w:val="center"/>
          </w:tcPr>
          <w:p w14:paraId="77C71A58">
            <w:pPr>
              <w:jc w:val="center"/>
              <w:rPr>
                <w:rFonts w:eastAsia="等线" w:cs="等线"/>
                <w:color w:val="000000"/>
                <w:sz w:val="21"/>
                <w:szCs w:val="21"/>
              </w:rPr>
            </w:pPr>
            <w:r>
              <w:rPr>
                <w:rFonts w:hint="eastAsia" w:eastAsia="宋体"/>
                <w:color w:val="000000"/>
                <w:sz w:val="21"/>
                <w:szCs w:val="21"/>
              </w:rPr>
              <w:t>202</w:t>
            </w:r>
            <w:r>
              <w:rPr>
                <w:rFonts w:hint="eastAsia" w:eastAsia="宋体"/>
                <w:color w:val="000000"/>
                <w:sz w:val="21"/>
                <w:szCs w:val="21"/>
                <w:lang w:val="en-US" w:eastAsia="zh-CN"/>
              </w:rPr>
              <w:t>6</w:t>
            </w:r>
            <w:r>
              <w:rPr>
                <w:rFonts w:hint="eastAsia" w:eastAsia="宋体"/>
                <w:color w:val="000000"/>
                <w:sz w:val="21"/>
                <w:szCs w:val="21"/>
              </w:rPr>
              <w:t>年</w:t>
            </w:r>
            <w:r>
              <w:rPr>
                <w:rFonts w:hint="eastAsia" w:eastAsia="宋体"/>
                <w:color w:val="000000"/>
                <w:sz w:val="21"/>
                <w:szCs w:val="21"/>
                <w:lang w:val="en-US" w:eastAsia="zh-CN"/>
              </w:rPr>
              <w:t>3</w:t>
            </w:r>
            <w:r>
              <w:rPr>
                <w:rFonts w:hint="eastAsia" w:eastAsia="宋体"/>
                <w:color w:val="000000"/>
                <w:sz w:val="21"/>
                <w:szCs w:val="21"/>
              </w:rPr>
              <w:t>月</w:t>
            </w:r>
            <w:r>
              <w:rPr>
                <w:rFonts w:hint="eastAsia" w:eastAsia="宋体"/>
                <w:color w:val="000000"/>
                <w:sz w:val="21"/>
                <w:szCs w:val="21"/>
                <w:lang w:val="en-US" w:eastAsia="zh-CN"/>
              </w:rPr>
              <w:t>19</w:t>
            </w:r>
            <w:r>
              <w:rPr>
                <w:rFonts w:hint="eastAsia" w:eastAsia="宋体"/>
                <w:color w:val="000000"/>
                <w:sz w:val="21"/>
                <w:szCs w:val="21"/>
              </w:rPr>
              <w:t>日—</w:t>
            </w:r>
            <w:r>
              <w:rPr>
                <w:rFonts w:hint="eastAsia" w:eastAsia="宋体"/>
                <w:color w:val="000000"/>
                <w:sz w:val="21"/>
                <w:szCs w:val="21"/>
                <w:lang w:val="en-US" w:eastAsia="zh-CN"/>
              </w:rPr>
              <w:t>20</w:t>
            </w:r>
            <w:r>
              <w:rPr>
                <w:rFonts w:hint="eastAsia" w:eastAsia="宋体"/>
                <w:color w:val="000000"/>
                <w:sz w:val="21"/>
                <w:szCs w:val="21"/>
              </w:rPr>
              <w:t>日</w:t>
            </w:r>
          </w:p>
        </w:tc>
      </w:tr>
      <w:tr w14:paraId="46755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926" w:hRule="atLeast"/>
        </w:trPr>
        <w:tc>
          <w:tcPr>
            <w:tcW w:w="1688" w:type="dxa"/>
            <w:tcBorders>
              <w:top w:val="single" w:color="auto" w:sz="6" w:space="0"/>
              <w:left w:val="single" w:color="auto" w:sz="4" w:space="0"/>
              <w:bottom w:val="single" w:color="auto" w:sz="6" w:space="0"/>
              <w:right w:val="single" w:color="auto" w:sz="4" w:space="0"/>
            </w:tcBorders>
            <w:vAlign w:val="center"/>
          </w:tcPr>
          <w:p w14:paraId="503DF0E5">
            <w:pPr>
              <w:jc w:val="center"/>
              <w:rPr>
                <w:rFonts w:eastAsia="等线" w:cs="等线"/>
                <w:b/>
                <w:color w:val="000000"/>
                <w:sz w:val="21"/>
                <w:szCs w:val="21"/>
              </w:rPr>
            </w:pPr>
            <w:r>
              <w:rPr>
                <w:rFonts w:hint="eastAsia" w:eastAsia="等线" w:cs="等线"/>
                <w:color w:val="000000"/>
                <w:sz w:val="21"/>
                <w:szCs w:val="21"/>
              </w:rPr>
              <w:t>5.2 验证过程</w:t>
            </w:r>
          </w:p>
        </w:tc>
        <w:tc>
          <w:tcPr>
            <w:tcW w:w="7331" w:type="dxa"/>
            <w:gridSpan w:val="10"/>
            <w:tcBorders>
              <w:top w:val="single" w:color="auto" w:sz="6" w:space="0"/>
              <w:left w:val="single" w:color="auto" w:sz="4" w:space="0"/>
              <w:bottom w:val="single" w:color="auto" w:sz="6" w:space="0"/>
              <w:right w:val="single" w:color="auto" w:sz="4" w:space="0"/>
            </w:tcBorders>
          </w:tcPr>
          <w:p w14:paraId="52F2C457">
            <w:pPr>
              <w:rPr>
                <w:rFonts w:hint="default" w:eastAsia="宋体"/>
                <w:color w:val="000000"/>
                <w:sz w:val="21"/>
                <w:szCs w:val="21"/>
                <w:lang w:val="en-US"/>
              </w:rPr>
            </w:pPr>
            <w:r>
              <w:rPr>
                <w:rFonts w:hint="eastAsia" w:eastAsia="宋体"/>
                <w:color w:val="000000"/>
                <w:sz w:val="21"/>
                <w:szCs w:val="21"/>
              </w:rPr>
              <w:t>1、2025年12月</w:t>
            </w:r>
            <w:r>
              <w:rPr>
                <w:rFonts w:hint="eastAsia" w:eastAsia="宋体"/>
                <w:color w:val="000000"/>
                <w:sz w:val="21"/>
                <w:szCs w:val="21"/>
                <w:lang w:val="en-US" w:eastAsia="zh-CN"/>
              </w:rPr>
              <w:t>现场</w:t>
            </w:r>
            <w:r>
              <w:rPr>
                <w:rFonts w:hint="eastAsia" w:eastAsia="宋体"/>
                <w:color w:val="000000"/>
                <w:sz w:val="21"/>
                <w:szCs w:val="21"/>
                <w:highlight w:val="none"/>
                <w:lang w:val="en-US" w:eastAsia="zh-CN"/>
              </w:rPr>
              <w:t>测试验证</w:t>
            </w:r>
          </w:p>
          <w:p w14:paraId="7927DF73">
            <w:pPr>
              <w:ind w:firstLine="420" w:firstLineChars="200"/>
              <w:rPr>
                <w:rFonts w:eastAsia="宋体"/>
                <w:color w:val="000000"/>
                <w:sz w:val="21"/>
                <w:szCs w:val="21"/>
                <w:highlight w:val="none"/>
              </w:rPr>
            </w:pPr>
            <w:r>
              <w:rPr>
                <w:rFonts w:hint="eastAsia" w:eastAsia="宋体"/>
                <w:color w:val="000000"/>
                <w:sz w:val="21"/>
                <w:szCs w:val="21"/>
                <w:lang w:val="en-US" w:eastAsia="zh-CN"/>
              </w:rPr>
              <w:t>现场通过</w:t>
            </w:r>
            <w:r>
              <w:rPr>
                <w:rFonts w:hint="eastAsia" w:eastAsia="宋体"/>
                <w:color w:val="000000"/>
                <w:sz w:val="21"/>
                <w:szCs w:val="21"/>
                <w:lang w:eastAsia="zh-CN"/>
              </w:rPr>
              <w:t>中国石油化工股份有限公司江苏江阴石油分公司长山油库</w:t>
            </w:r>
            <w:r>
              <w:rPr>
                <w:rFonts w:hint="eastAsia" w:eastAsia="宋体"/>
                <w:color w:val="000000"/>
                <w:sz w:val="21"/>
                <w:szCs w:val="21"/>
                <w:lang w:val="en-US" w:eastAsia="zh-CN"/>
              </w:rPr>
              <w:t>一台直径19米、底板厚度为6mm/8mm的待检常压储罐</w:t>
            </w:r>
            <w:r>
              <w:rPr>
                <w:rFonts w:hint="eastAsia" w:eastAsia="宋体"/>
                <w:color w:val="000000"/>
                <w:sz w:val="21"/>
                <w:szCs w:val="21"/>
                <w:lang w:eastAsia="zh-CN"/>
              </w:rPr>
              <w:t>，</w:t>
            </w:r>
            <w:r>
              <w:rPr>
                <w:rFonts w:hint="eastAsia" w:eastAsia="宋体"/>
                <w:color w:val="000000"/>
                <w:sz w:val="21"/>
                <w:szCs w:val="21"/>
                <w:lang w:val="en-US" w:eastAsia="zh-CN"/>
              </w:rPr>
              <w:t>对</w:t>
            </w:r>
            <w:r>
              <w:rPr>
                <w:rFonts w:hint="eastAsia" w:eastAsia="宋体"/>
                <w:color w:val="000000"/>
                <w:sz w:val="24"/>
                <w:szCs w:val="24"/>
                <w:lang w:val="en-US" w:eastAsia="zh-CN"/>
              </w:rPr>
              <w:t>Eddyfi</w:t>
            </w:r>
            <w:r>
              <w:rPr>
                <w:rFonts w:hint="eastAsia" w:eastAsia="宋体"/>
                <w:color w:val="000000"/>
                <w:sz w:val="21"/>
                <w:szCs w:val="21"/>
                <w:lang w:val="en-US" w:eastAsia="zh-CN"/>
              </w:rPr>
              <w:t>公司</w:t>
            </w:r>
            <w:r>
              <w:rPr>
                <w:rFonts w:hint="eastAsia" w:eastAsia="宋体"/>
                <w:color w:val="000000"/>
                <w:sz w:val="24"/>
                <w:szCs w:val="24"/>
                <w:lang w:eastAsia="zh-CN"/>
              </w:rPr>
              <w:t xml:space="preserve">Floormap </w:t>
            </w:r>
            <w:r>
              <w:rPr>
                <w:rFonts w:hint="eastAsia" w:eastAsia="宋体"/>
                <w:color w:val="000000"/>
                <w:sz w:val="21"/>
                <w:szCs w:val="21"/>
                <w:lang w:eastAsia="zh-CN"/>
              </w:rPr>
              <w:t>X（</w:t>
            </w:r>
            <w:r>
              <w:rPr>
                <w:rFonts w:hint="eastAsia" w:eastAsia="宋体"/>
                <w:color w:val="000000"/>
                <w:sz w:val="21"/>
                <w:szCs w:val="21"/>
                <w:lang w:val="en-US" w:eastAsia="zh-CN"/>
              </w:rPr>
              <w:t>人工操作</w:t>
            </w:r>
            <w:r>
              <w:rPr>
                <w:rFonts w:hint="eastAsia" w:eastAsia="宋体"/>
                <w:color w:val="000000"/>
                <w:sz w:val="21"/>
                <w:szCs w:val="21"/>
                <w:lang w:eastAsia="zh-CN"/>
              </w:rPr>
              <w:t>）</w:t>
            </w:r>
            <w:r>
              <w:rPr>
                <w:rFonts w:hint="eastAsia" w:eastAsia="宋体"/>
                <w:color w:val="000000"/>
                <w:sz w:val="21"/>
                <w:szCs w:val="21"/>
                <w:lang w:val="en-US" w:eastAsia="zh-CN"/>
              </w:rPr>
              <w:t>和西红柿科技（武汉）有限公司TMT-ROBOT 10（漏磁检测机器人）</w:t>
            </w:r>
            <w:r>
              <w:rPr>
                <w:rFonts w:hint="eastAsia" w:eastAsia="宋体"/>
                <w:color w:val="000000"/>
                <w:sz w:val="21"/>
                <w:szCs w:val="21"/>
                <w:highlight w:val="none"/>
                <w:lang w:val="en-US" w:eastAsia="zh-CN"/>
              </w:rPr>
              <w:t>对漏磁检测机器人</w:t>
            </w:r>
            <w:r>
              <w:rPr>
                <w:rFonts w:hint="default" w:eastAsia="宋体"/>
                <w:color w:val="000000"/>
                <w:sz w:val="21"/>
                <w:szCs w:val="21"/>
                <w:highlight w:val="none"/>
                <w:lang w:val="en-US" w:eastAsia="zh-CN"/>
              </w:rPr>
              <w:t>路径规划</w:t>
            </w:r>
            <w:r>
              <w:rPr>
                <w:rFonts w:hint="eastAsia" w:eastAsia="宋体"/>
                <w:color w:val="000000"/>
                <w:sz w:val="21"/>
                <w:szCs w:val="21"/>
                <w:highlight w:val="none"/>
                <w:lang w:val="en-US" w:eastAsia="zh-CN"/>
              </w:rPr>
              <w:t>、自主避障、</w:t>
            </w:r>
            <w:r>
              <w:rPr>
                <w:rFonts w:hint="default" w:eastAsia="宋体"/>
                <w:color w:val="000000"/>
                <w:sz w:val="21"/>
                <w:szCs w:val="21"/>
                <w:highlight w:val="none"/>
                <w:lang w:val="en-US" w:eastAsia="zh-CN"/>
              </w:rPr>
              <w:t>自动换轨</w:t>
            </w:r>
            <w:r>
              <w:rPr>
                <w:rFonts w:hint="eastAsia" w:eastAsia="宋体"/>
                <w:color w:val="000000"/>
                <w:sz w:val="21"/>
                <w:szCs w:val="21"/>
                <w:highlight w:val="none"/>
                <w:lang w:val="en-US" w:eastAsia="zh-CN"/>
              </w:rPr>
              <w:t>、障碍识别、定位误差、磁化强度自主调节、底板布置图自动创建、缺陷自主判定与检验结果输出等进行了测试验证</w:t>
            </w:r>
            <w:r>
              <w:rPr>
                <w:rFonts w:eastAsia="宋体"/>
                <w:color w:val="000000"/>
                <w:sz w:val="21"/>
                <w:szCs w:val="21"/>
                <w:highlight w:val="none"/>
              </w:rPr>
              <w:t>。</w:t>
            </w:r>
          </w:p>
          <w:p w14:paraId="080E1D7F">
            <w:pPr>
              <w:ind w:firstLine="420" w:firstLineChars="200"/>
              <w:rPr>
                <w:rFonts w:hint="default" w:eastAsia="宋体"/>
                <w:color w:val="000000"/>
                <w:sz w:val="21"/>
                <w:szCs w:val="21"/>
                <w:lang w:val="en-US" w:eastAsia="zh-CN"/>
              </w:rPr>
            </w:pPr>
            <w:r>
              <w:rPr>
                <w:rFonts w:hint="eastAsia" w:eastAsia="宋体"/>
                <w:color w:val="000000"/>
                <w:sz w:val="21"/>
                <w:szCs w:val="21"/>
                <w:highlight w:val="none"/>
                <w:lang w:val="en-US" w:eastAsia="zh-CN"/>
              </w:rPr>
              <w:t>以下所使用的</w:t>
            </w:r>
            <w:r>
              <w:rPr>
                <w:rFonts w:hint="eastAsia" w:eastAsia="宋体"/>
                <w:color w:val="000000"/>
                <w:sz w:val="21"/>
                <w:szCs w:val="21"/>
                <w:lang w:val="en-US" w:eastAsia="zh-CN"/>
              </w:rPr>
              <w:t>照片均为现场测试验证视频中截取的图片，所使用的图片均截图自检验报告，因报告共83页，未能整体附后。</w:t>
            </w:r>
          </w:p>
          <w:p w14:paraId="61EC0911">
            <w:pPr>
              <w:ind w:firstLine="420" w:firstLineChars="200"/>
              <w:rPr>
                <w:rFonts w:eastAsia="宋体"/>
                <w:color w:val="000000"/>
                <w:sz w:val="21"/>
                <w:szCs w:val="21"/>
              </w:rPr>
            </w:pPr>
            <w:r>
              <w:rPr>
                <w:rFonts w:hint="eastAsia" w:eastAsia="宋体"/>
                <w:color w:val="000000"/>
                <w:sz w:val="21"/>
                <w:szCs w:val="21"/>
                <w:lang w:val="en-US" w:eastAsia="zh-CN"/>
              </w:rPr>
              <w:t>现场人工操作漏磁检测与机器人漏磁检测作业分别见图1、图2</w:t>
            </w:r>
            <w:r>
              <w:rPr>
                <w:rFonts w:hint="eastAsia" w:eastAsia="宋体"/>
                <w:color w:val="000000"/>
                <w:sz w:val="21"/>
                <w:szCs w:val="21"/>
              </w:rPr>
              <w:t>。</w:t>
            </w: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06"/>
              <w:gridCol w:w="3726"/>
            </w:tblGrid>
            <w:tr w14:paraId="66FBE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06" w:type="dxa"/>
                  <w:vAlign w:val="center"/>
                </w:tcPr>
                <w:p w14:paraId="3724C949">
                  <w:pPr>
                    <w:jc w:val="center"/>
                    <w:rPr>
                      <w:rFonts w:ascii="宋体" w:hAnsi="宋体"/>
                      <w:color w:val="000000"/>
                      <w:sz w:val="24"/>
                      <w:szCs w:val="24"/>
                    </w:rPr>
                  </w:pPr>
                  <w:r>
                    <w:drawing>
                      <wp:inline distT="0" distB="0" distL="114300" distR="114300">
                        <wp:extent cx="2000250" cy="2692400"/>
                        <wp:effectExtent l="0" t="0" r="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000250" cy="2692400"/>
                                </a:xfrm>
                                <a:prstGeom prst="rect">
                                  <a:avLst/>
                                </a:prstGeom>
                                <a:noFill/>
                                <a:ln>
                                  <a:noFill/>
                                </a:ln>
                              </pic:spPr>
                            </pic:pic>
                          </a:graphicData>
                        </a:graphic>
                      </wp:inline>
                    </w:drawing>
                  </w:r>
                </w:p>
              </w:tc>
              <w:tc>
                <w:tcPr>
                  <w:tcW w:w="3726" w:type="dxa"/>
                  <w:vAlign w:val="center"/>
                </w:tcPr>
                <w:p w14:paraId="194AD5E1">
                  <w:pPr>
                    <w:jc w:val="center"/>
                    <w:rPr>
                      <w:rFonts w:ascii="宋体" w:hAnsi="宋体"/>
                      <w:color w:val="000000"/>
                      <w:sz w:val="24"/>
                      <w:szCs w:val="24"/>
                    </w:rPr>
                  </w:pPr>
                  <w:r>
                    <w:drawing>
                      <wp:inline distT="0" distB="0" distL="114300" distR="114300">
                        <wp:extent cx="2217420" cy="2641600"/>
                        <wp:effectExtent l="0" t="0" r="11430"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2217420" cy="2641600"/>
                                </a:xfrm>
                                <a:prstGeom prst="rect">
                                  <a:avLst/>
                                </a:prstGeom>
                                <a:noFill/>
                                <a:ln>
                                  <a:noFill/>
                                </a:ln>
                              </pic:spPr>
                            </pic:pic>
                          </a:graphicData>
                        </a:graphic>
                      </wp:inline>
                    </w:drawing>
                  </w:r>
                </w:p>
              </w:tc>
            </w:tr>
            <w:tr w14:paraId="59FE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06" w:type="dxa"/>
                  <w:vAlign w:val="center"/>
                </w:tcPr>
                <w:p w14:paraId="683A4498">
                  <w:pPr>
                    <w:contextualSpacing/>
                    <w:jc w:val="center"/>
                    <w:rPr>
                      <w:rFonts w:hint="default" w:ascii="宋体" w:hAnsi="宋体" w:eastAsia="仿宋_GB2312"/>
                      <w:color w:val="000000"/>
                      <w:sz w:val="18"/>
                      <w:szCs w:val="11"/>
                      <w:lang w:val="en-US" w:eastAsia="zh-CN"/>
                    </w:rPr>
                  </w:pPr>
                  <w:r>
                    <w:rPr>
                      <w:rFonts w:hint="eastAsia" w:ascii="宋体" w:hAnsi="宋体"/>
                      <w:color w:val="000000"/>
                      <w:sz w:val="18"/>
                      <w:szCs w:val="11"/>
                    </w:rPr>
                    <w:t>（a）</w:t>
                  </w:r>
                  <w:r>
                    <w:rPr>
                      <w:rFonts w:hint="eastAsia" w:ascii="宋体" w:hAnsi="宋体"/>
                      <w:color w:val="000000"/>
                      <w:sz w:val="18"/>
                      <w:szCs w:val="11"/>
                      <w:lang w:val="en-US" w:eastAsia="zh-CN"/>
                    </w:rPr>
                    <w:t>人工扫查遇障碍物的操作</w:t>
                  </w:r>
                </w:p>
              </w:tc>
              <w:tc>
                <w:tcPr>
                  <w:tcW w:w="3726" w:type="dxa"/>
                  <w:vAlign w:val="center"/>
                </w:tcPr>
                <w:p w14:paraId="1E666A0A">
                  <w:pPr>
                    <w:contextualSpacing/>
                    <w:jc w:val="center"/>
                    <w:rPr>
                      <w:rFonts w:hint="default" w:ascii="宋体" w:hAnsi="宋体" w:eastAsia="仿宋_GB2312"/>
                      <w:color w:val="000000"/>
                      <w:sz w:val="18"/>
                      <w:szCs w:val="11"/>
                      <w:lang w:val="en-US" w:eastAsia="zh-CN"/>
                    </w:rPr>
                  </w:pPr>
                  <w:r>
                    <w:rPr>
                      <w:rFonts w:hint="eastAsia" w:ascii="宋体" w:hAnsi="宋体"/>
                      <w:color w:val="000000"/>
                      <w:sz w:val="18"/>
                      <w:szCs w:val="11"/>
                    </w:rPr>
                    <w:t>(</w:t>
                  </w:r>
                  <w:r>
                    <w:rPr>
                      <w:rFonts w:ascii="宋体" w:hAnsi="宋体"/>
                      <w:color w:val="000000"/>
                      <w:sz w:val="18"/>
                      <w:szCs w:val="11"/>
                    </w:rPr>
                    <w:t>b)</w:t>
                  </w:r>
                  <w:r>
                    <w:rPr>
                      <w:rFonts w:hint="eastAsia" w:ascii="宋体" w:hAnsi="宋体"/>
                      <w:color w:val="000000"/>
                      <w:sz w:val="18"/>
                      <w:szCs w:val="11"/>
                    </w:rPr>
                    <w:t xml:space="preserve"> </w:t>
                  </w:r>
                  <w:r>
                    <w:rPr>
                      <w:rFonts w:hint="eastAsia" w:ascii="宋体" w:hAnsi="宋体"/>
                      <w:color w:val="000000"/>
                      <w:sz w:val="18"/>
                      <w:szCs w:val="11"/>
                      <w:lang w:val="en-US" w:eastAsia="zh-CN"/>
                    </w:rPr>
                    <w:t>人工扫查时换轨操作</w:t>
                  </w:r>
                </w:p>
              </w:tc>
            </w:tr>
            <w:tr w14:paraId="4B75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332" w:type="dxa"/>
                  <w:gridSpan w:val="2"/>
                  <w:vAlign w:val="center"/>
                </w:tcPr>
                <w:p w14:paraId="1F2E3A0A">
                  <w:pPr>
                    <w:contextualSpacing/>
                    <w:jc w:val="center"/>
                    <w:rPr>
                      <w:rFonts w:hint="default" w:ascii="宋体" w:hAnsi="宋体" w:eastAsia="仿宋_GB2312"/>
                      <w:color w:val="000000"/>
                      <w:sz w:val="18"/>
                      <w:szCs w:val="11"/>
                      <w:lang w:val="en-US" w:eastAsia="zh-CN"/>
                    </w:rPr>
                  </w:pPr>
                  <w:r>
                    <w:rPr>
                      <w:rFonts w:hint="eastAsia" w:ascii="宋体" w:hAnsi="宋体"/>
                      <w:color w:val="000000"/>
                      <w:sz w:val="18"/>
                      <w:szCs w:val="11"/>
                    </w:rPr>
                    <w:t>图1</w:t>
                  </w:r>
                  <w:r>
                    <w:rPr>
                      <w:rFonts w:hint="eastAsia" w:ascii="宋体" w:hAnsi="宋体"/>
                      <w:color w:val="000000"/>
                      <w:sz w:val="18"/>
                      <w:szCs w:val="11"/>
                      <w:lang w:val="en-US" w:eastAsia="zh-CN"/>
                    </w:rPr>
                    <w:t>人工漏磁检测现场操作照片</w:t>
                  </w:r>
                </w:p>
              </w:tc>
            </w:tr>
            <w:tr w14:paraId="0C6AB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06" w:type="dxa"/>
                  <w:tcBorders>
                    <w:right w:val="single" w:color="auto" w:sz="4" w:space="0"/>
                  </w:tcBorders>
                  <w:vAlign w:val="center"/>
                </w:tcPr>
                <w:p w14:paraId="73124BE1">
                  <w:pPr>
                    <w:contextualSpacing/>
                    <w:jc w:val="center"/>
                    <w:rPr>
                      <w:rFonts w:hint="eastAsia" w:ascii="宋体" w:hAnsi="宋体" w:eastAsia="仿宋_GB2312"/>
                      <w:color w:val="000000"/>
                      <w:sz w:val="18"/>
                      <w:szCs w:val="11"/>
                      <w:lang w:eastAsia="zh-CN"/>
                    </w:rPr>
                  </w:pPr>
                  <w:r>
                    <w:rPr>
                      <w:rFonts w:hint="eastAsia" w:ascii="宋体" w:hAnsi="宋体" w:eastAsia="仿宋_GB2312"/>
                      <w:color w:val="000000"/>
                      <w:sz w:val="18"/>
                      <w:szCs w:val="11"/>
                      <w:lang w:eastAsia="zh-CN"/>
                    </w:rPr>
                    <w:drawing>
                      <wp:inline distT="0" distB="0" distL="114300" distR="114300">
                        <wp:extent cx="2148840" cy="2691130"/>
                        <wp:effectExtent l="0" t="0" r="3810" b="13970"/>
                        <wp:docPr id="7" name="图片 7" descr="799d1919-438a-4978-8a83-0f50752f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99d1919-438a-4978-8a83-0f50752f501e"/>
                                <pic:cNvPicPr>
                                  <a:picLocks noChangeAspect="1"/>
                                </pic:cNvPicPr>
                              </pic:nvPicPr>
                              <pic:blipFill>
                                <a:blip r:embed="rId6"/>
                                <a:stretch>
                                  <a:fillRect/>
                                </a:stretch>
                              </pic:blipFill>
                              <pic:spPr>
                                <a:xfrm>
                                  <a:off x="0" y="0"/>
                                  <a:ext cx="2148840" cy="2691130"/>
                                </a:xfrm>
                                <a:prstGeom prst="rect">
                                  <a:avLst/>
                                </a:prstGeom>
                              </pic:spPr>
                            </pic:pic>
                          </a:graphicData>
                        </a:graphic>
                      </wp:inline>
                    </w:drawing>
                  </w:r>
                </w:p>
              </w:tc>
              <w:tc>
                <w:tcPr>
                  <w:tcW w:w="3726" w:type="dxa"/>
                  <w:tcBorders>
                    <w:left w:val="single" w:color="auto" w:sz="4" w:space="0"/>
                  </w:tcBorders>
                  <w:vAlign w:val="center"/>
                </w:tcPr>
                <w:p w14:paraId="779AE5B1">
                  <w:pPr>
                    <w:contextualSpacing/>
                    <w:jc w:val="both"/>
                    <w:rPr>
                      <w:rFonts w:ascii="宋体" w:hAnsi="宋体"/>
                      <w:color w:val="000000"/>
                      <w:sz w:val="18"/>
                      <w:szCs w:val="11"/>
                    </w:rPr>
                  </w:pPr>
                  <w:r>
                    <w:drawing>
                      <wp:inline distT="0" distB="0" distL="114300" distR="114300">
                        <wp:extent cx="2201545" cy="267208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7"/>
                                <a:srcRect l="5768" b="3685"/>
                                <a:stretch>
                                  <a:fillRect/>
                                </a:stretch>
                              </pic:blipFill>
                              <pic:spPr>
                                <a:xfrm>
                                  <a:off x="0" y="0"/>
                                  <a:ext cx="2201545" cy="2672080"/>
                                </a:xfrm>
                                <a:prstGeom prst="rect">
                                  <a:avLst/>
                                </a:prstGeom>
                                <a:noFill/>
                                <a:ln>
                                  <a:noFill/>
                                </a:ln>
                              </pic:spPr>
                            </pic:pic>
                          </a:graphicData>
                        </a:graphic>
                      </wp:inline>
                    </w:drawing>
                  </w:r>
                </w:p>
              </w:tc>
            </w:tr>
            <w:tr w14:paraId="3FC27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06" w:type="dxa"/>
                  <w:tcBorders>
                    <w:right w:val="single" w:color="auto" w:sz="4" w:space="0"/>
                  </w:tcBorders>
                  <w:vAlign w:val="center"/>
                </w:tcPr>
                <w:p w14:paraId="743FAAEB">
                  <w:pPr>
                    <w:contextualSpacing/>
                    <w:jc w:val="center"/>
                    <w:rPr>
                      <w:rFonts w:hint="default" w:ascii="宋体" w:hAnsi="宋体" w:eastAsia="仿宋_GB2312"/>
                      <w:color w:val="000000"/>
                      <w:sz w:val="18"/>
                      <w:szCs w:val="11"/>
                      <w:lang w:val="en-US" w:eastAsia="zh-CN"/>
                    </w:rPr>
                  </w:pPr>
                  <w:r>
                    <w:rPr>
                      <w:rFonts w:hint="eastAsia" w:ascii="宋体" w:hAnsi="宋体"/>
                      <w:color w:val="000000"/>
                      <w:sz w:val="18"/>
                      <w:szCs w:val="11"/>
                    </w:rPr>
                    <w:t>（a）</w:t>
                  </w:r>
                  <w:r>
                    <w:rPr>
                      <w:rFonts w:hint="eastAsia" w:ascii="宋体" w:hAnsi="宋体"/>
                      <w:color w:val="000000"/>
                      <w:sz w:val="18"/>
                      <w:szCs w:val="11"/>
                      <w:lang w:val="en-US" w:eastAsia="zh-CN"/>
                    </w:rPr>
                    <w:t>漏磁检测机器人自主漏磁检测</w:t>
                  </w:r>
                </w:p>
              </w:tc>
              <w:tc>
                <w:tcPr>
                  <w:tcW w:w="3726" w:type="dxa"/>
                  <w:tcBorders>
                    <w:left w:val="single" w:color="auto" w:sz="4" w:space="0"/>
                  </w:tcBorders>
                  <w:vAlign w:val="center"/>
                </w:tcPr>
                <w:p w14:paraId="498CF5E7">
                  <w:pPr>
                    <w:contextualSpacing/>
                    <w:jc w:val="center"/>
                    <w:rPr>
                      <w:rFonts w:hint="default" w:ascii="宋体" w:hAnsi="宋体" w:eastAsia="仿宋_GB2312"/>
                      <w:color w:val="000000"/>
                      <w:sz w:val="18"/>
                      <w:szCs w:val="11"/>
                      <w:lang w:val="en-US" w:eastAsia="zh-CN"/>
                    </w:rPr>
                  </w:pPr>
                  <w:r>
                    <w:rPr>
                      <w:rFonts w:hint="eastAsia" w:ascii="宋体" w:hAnsi="宋体"/>
                      <w:color w:val="000000"/>
                      <w:sz w:val="18"/>
                      <w:szCs w:val="11"/>
                    </w:rPr>
                    <w:t>（b）</w:t>
                  </w:r>
                  <w:r>
                    <w:rPr>
                      <w:rFonts w:hint="eastAsia" w:ascii="宋体" w:hAnsi="宋体"/>
                      <w:color w:val="000000"/>
                      <w:sz w:val="18"/>
                      <w:szCs w:val="11"/>
                      <w:lang w:val="en-US" w:eastAsia="zh-CN"/>
                    </w:rPr>
                    <w:t>机器人自主避障现场</w:t>
                  </w:r>
                </w:p>
              </w:tc>
            </w:tr>
            <w:tr w14:paraId="3C03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332" w:type="dxa"/>
                  <w:gridSpan w:val="2"/>
                  <w:vAlign w:val="center"/>
                </w:tcPr>
                <w:p w14:paraId="21FE8365">
                  <w:pPr>
                    <w:contextualSpacing/>
                    <w:jc w:val="center"/>
                    <w:rPr>
                      <w:rFonts w:ascii="宋体" w:hAnsi="宋体"/>
                      <w:color w:val="000000"/>
                      <w:sz w:val="18"/>
                      <w:szCs w:val="11"/>
                    </w:rPr>
                  </w:pPr>
                  <w:r>
                    <w:rPr>
                      <w:rFonts w:hint="eastAsia" w:ascii="宋体" w:hAnsi="宋体"/>
                      <w:color w:val="000000"/>
                      <w:sz w:val="18"/>
                      <w:szCs w:val="11"/>
                    </w:rPr>
                    <w:t>图2</w:t>
                  </w:r>
                  <w:r>
                    <w:rPr>
                      <w:rFonts w:hint="eastAsia" w:ascii="宋体" w:hAnsi="宋体"/>
                      <w:color w:val="000000"/>
                      <w:sz w:val="18"/>
                      <w:szCs w:val="11"/>
                      <w:lang w:val="en-US" w:eastAsia="zh-CN"/>
                    </w:rPr>
                    <w:t>漏磁检测机器人现场检测照片</w:t>
                  </w:r>
                </w:p>
              </w:tc>
            </w:tr>
          </w:tbl>
          <w:p w14:paraId="000B286C">
            <w:pPr>
              <w:ind w:firstLine="420" w:firstLineChars="200"/>
              <w:rPr>
                <w:rFonts w:hint="eastAsia" w:eastAsia="宋体"/>
                <w:color w:val="000000"/>
                <w:sz w:val="21"/>
                <w:szCs w:val="21"/>
                <w:lang w:val="en-US" w:eastAsia="zh-CN"/>
              </w:rPr>
            </w:pPr>
          </w:p>
          <w:p w14:paraId="4EAAD581">
            <w:pPr>
              <w:ind w:firstLine="420" w:firstLineChars="200"/>
              <w:rPr>
                <w:rFonts w:hint="eastAsia" w:eastAsia="宋体"/>
                <w:color w:val="000000"/>
                <w:sz w:val="21"/>
                <w:szCs w:val="21"/>
              </w:rPr>
            </w:pPr>
            <w:r>
              <w:rPr>
                <w:rFonts w:hint="eastAsia" w:eastAsia="宋体"/>
                <w:color w:val="000000"/>
                <w:sz w:val="21"/>
                <w:szCs w:val="21"/>
                <w:lang w:val="en-US" w:eastAsia="zh-CN"/>
              </w:rPr>
              <w:t>现场验证过程中，人工漏磁检测与漏磁机器人均执行日常漏磁检测常规操作。现场摆放灭火器、矿泉水等模拟障碍物，通过人为增加障碍物验证了机器人自主避障能力，机器人能够避过矿泉水瓶来到矿泉水瓶与灭火器之间继续检验，如图2所示；自主越障功能如图3所示，机器人每完成一个单板的检测，按照路径规划，自主完成通过越障去到下一个单元板继续进行自动漏磁检测</w:t>
            </w:r>
            <w:r>
              <w:rPr>
                <w:rFonts w:hint="eastAsia" w:eastAsia="宋体"/>
                <w:color w:val="000000"/>
                <w:sz w:val="21"/>
                <w:szCs w:val="21"/>
              </w:rPr>
              <w:t>。</w:t>
            </w:r>
          </w:p>
          <w:p w14:paraId="536CD748">
            <w:pPr>
              <w:ind w:firstLine="420" w:firstLineChars="200"/>
              <w:rPr>
                <w:rFonts w:eastAsia="宋体"/>
                <w:color w:val="000000"/>
                <w:sz w:val="21"/>
                <w:szCs w:val="21"/>
              </w:rPr>
            </w:pP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66"/>
              <w:gridCol w:w="3847"/>
            </w:tblGrid>
            <w:tr w14:paraId="37C59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3666" w:type="dxa"/>
                  <w:vAlign w:val="center"/>
                </w:tcPr>
                <w:p w14:paraId="7CA5EC82">
                  <w:pPr>
                    <w:jc w:val="center"/>
                    <w:rPr>
                      <w:rFonts w:ascii="宋体" w:hAnsi="宋体"/>
                      <w:color w:val="000000"/>
                      <w:sz w:val="24"/>
                      <w:szCs w:val="24"/>
                    </w:rPr>
                  </w:pPr>
                </w:p>
              </w:tc>
              <w:tc>
                <w:tcPr>
                  <w:tcW w:w="3847" w:type="dxa"/>
                  <w:vAlign w:val="center"/>
                </w:tcPr>
                <w:p w14:paraId="046F2AB2">
                  <w:pPr>
                    <w:jc w:val="center"/>
                    <w:rPr>
                      <w:rFonts w:ascii="宋体" w:hAnsi="宋体"/>
                      <w:color w:val="000000"/>
                      <w:sz w:val="24"/>
                      <w:szCs w:val="24"/>
                    </w:rPr>
                  </w:pPr>
                </w:p>
              </w:tc>
            </w:tr>
            <w:tr w14:paraId="0FAB1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66" w:type="dxa"/>
                  <w:vAlign w:val="center"/>
                </w:tcPr>
                <w:p w14:paraId="3365D6B3">
                  <w:pPr>
                    <w:jc w:val="center"/>
                    <w:rPr>
                      <w:rFonts w:hint="eastAsia" w:ascii="宋体" w:hAnsi="宋体" w:eastAsia="仿宋_GB2312"/>
                      <w:color w:val="000000"/>
                      <w:sz w:val="18"/>
                      <w:szCs w:val="11"/>
                      <w:lang w:eastAsia="zh-CN"/>
                    </w:rPr>
                  </w:pPr>
                  <w:r>
                    <w:rPr>
                      <w:rFonts w:hint="eastAsia" w:ascii="宋体" w:hAnsi="宋体" w:eastAsia="仿宋_GB2312"/>
                      <w:color w:val="000000"/>
                      <w:sz w:val="18"/>
                      <w:szCs w:val="11"/>
                      <w:lang w:eastAsia="zh-CN"/>
                    </w:rPr>
                    <w:drawing>
                      <wp:inline distT="0" distB="0" distL="114300" distR="114300">
                        <wp:extent cx="2230120" cy="2755265"/>
                        <wp:effectExtent l="0" t="0" r="0" b="0"/>
                        <wp:docPr id="11" name="图片 11" descr="66b7bc2d-f9da-4250-b8ed-32aa6f566a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6b7bc2d-f9da-4250-b8ed-32aa6f566ad5"/>
                                <pic:cNvPicPr>
                                  <a:picLocks noChangeAspect="1"/>
                                </pic:cNvPicPr>
                              </pic:nvPicPr>
                              <pic:blipFill>
                                <a:blip r:embed="rId8"/>
                                <a:srcRect t="4195"/>
                                <a:stretch>
                                  <a:fillRect/>
                                </a:stretch>
                              </pic:blipFill>
                              <pic:spPr>
                                <a:xfrm>
                                  <a:off x="0" y="0"/>
                                  <a:ext cx="2230120" cy="2755265"/>
                                </a:xfrm>
                                <a:prstGeom prst="rect">
                                  <a:avLst/>
                                </a:prstGeom>
                              </pic:spPr>
                            </pic:pic>
                          </a:graphicData>
                        </a:graphic>
                      </wp:inline>
                    </w:drawing>
                  </w:r>
                </w:p>
              </w:tc>
              <w:tc>
                <w:tcPr>
                  <w:tcW w:w="3847" w:type="dxa"/>
                  <w:vAlign w:val="center"/>
                </w:tcPr>
                <w:p w14:paraId="64EA682B">
                  <w:pPr>
                    <w:jc w:val="center"/>
                    <w:rPr>
                      <w:rFonts w:ascii="宋体" w:hAnsi="宋体"/>
                      <w:color w:val="000000"/>
                      <w:sz w:val="18"/>
                      <w:szCs w:val="11"/>
                    </w:rPr>
                  </w:pPr>
                  <w:r>
                    <w:drawing>
                      <wp:inline distT="0" distB="0" distL="114300" distR="114300">
                        <wp:extent cx="2178685" cy="2747010"/>
                        <wp:effectExtent l="0" t="0" r="0" b="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9"/>
                                <a:srcRect b="6181"/>
                                <a:stretch>
                                  <a:fillRect/>
                                </a:stretch>
                              </pic:blipFill>
                              <pic:spPr>
                                <a:xfrm>
                                  <a:off x="0" y="0"/>
                                  <a:ext cx="2178685" cy="2747010"/>
                                </a:xfrm>
                                <a:prstGeom prst="rect">
                                  <a:avLst/>
                                </a:prstGeom>
                                <a:noFill/>
                                <a:ln>
                                  <a:noFill/>
                                </a:ln>
                              </pic:spPr>
                            </pic:pic>
                          </a:graphicData>
                        </a:graphic>
                      </wp:inline>
                    </w:drawing>
                  </w:r>
                </w:p>
              </w:tc>
            </w:tr>
            <w:tr w14:paraId="787D7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7513" w:type="dxa"/>
                  <w:gridSpan w:val="2"/>
                  <w:vAlign w:val="center"/>
                </w:tcPr>
                <w:p w14:paraId="3283771E">
                  <w:pPr>
                    <w:jc w:val="center"/>
                    <w:rPr>
                      <w:rFonts w:hint="default" w:ascii="宋体" w:hAnsi="宋体" w:eastAsia="仿宋_GB2312"/>
                      <w:color w:val="000000"/>
                      <w:sz w:val="18"/>
                      <w:szCs w:val="11"/>
                      <w:lang w:val="en-US" w:eastAsia="zh-CN"/>
                    </w:rPr>
                  </w:pPr>
                  <w:r>
                    <w:rPr>
                      <w:rFonts w:hint="eastAsia" w:ascii="宋体" w:hAnsi="宋体"/>
                      <w:color w:val="000000"/>
                      <w:sz w:val="18"/>
                      <w:szCs w:val="11"/>
                    </w:rPr>
                    <w:t xml:space="preserve">图3 </w:t>
                  </w:r>
                  <w:r>
                    <w:rPr>
                      <w:rFonts w:hint="eastAsia" w:ascii="宋体" w:hAnsi="宋体"/>
                      <w:color w:val="000000"/>
                      <w:sz w:val="18"/>
                      <w:szCs w:val="11"/>
                      <w:lang w:val="en-US" w:eastAsia="zh-CN"/>
                    </w:rPr>
                    <w:t>机器人完成单元板之间的自主越障</w:t>
                  </w:r>
                </w:p>
              </w:tc>
            </w:tr>
          </w:tbl>
          <w:p w14:paraId="3A30061E">
            <w:pPr>
              <w:rPr>
                <w:rFonts w:hint="eastAsia" w:eastAsia="宋体"/>
                <w:color w:val="000000"/>
                <w:sz w:val="21"/>
                <w:szCs w:val="21"/>
              </w:rPr>
            </w:pPr>
          </w:p>
          <w:p w14:paraId="4E41939D">
            <w:pPr>
              <w:ind w:firstLine="420" w:firstLineChars="200"/>
              <w:jc w:val="center"/>
              <w:rPr>
                <w:rFonts w:hint="default" w:eastAsia="宋体"/>
                <w:color w:val="000000"/>
                <w:sz w:val="21"/>
                <w:szCs w:val="21"/>
                <w:lang w:val="en-US" w:eastAsia="zh-CN"/>
              </w:rPr>
            </w:pPr>
            <w:r>
              <w:rPr>
                <w:rFonts w:hint="eastAsia" w:eastAsia="宋体"/>
                <w:color w:val="000000"/>
                <w:sz w:val="21"/>
                <w:szCs w:val="21"/>
              </w:rPr>
              <w:t>表1</w:t>
            </w:r>
            <w:r>
              <w:rPr>
                <w:rFonts w:hint="eastAsia" w:eastAsia="宋体"/>
                <w:color w:val="000000"/>
                <w:sz w:val="21"/>
                <w:szCs w:val="21"/>
                <w:lang w:val="en-US" w:eastAsia="zh-CN"/>
              </w:rPr>
              <w:t>漏磁检测结果验证</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636"/>
              <w:gridCol w:w="1063"/>
              <w:gridCol w:w="2290"/>
              <w:gridCol w:w="1490"/>
            </w:tblGrid>
            <w:tr w14:paraId="4EAF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Borders>
                    <w:top w:val="single" w:color="auto" w:sz="4" w:space="0"/>
                    <w:left w:val="single" w:color="auto" w:sz="4" w:space="0"/>
                    <w:bottom w:val="single" w:color="auto" w:sz="4" w:space="0"/>
                    <w:right w:val="single" w:color="auto" w:sz="4" w:space="0"/>
                  </w:tcBorders>
                  <w:vAlign w:val="center"/>
                </w:tcPr>
                <w:p w14:paraId="20A04EDB">
                  <w:pPr>
                    <w:jc w:val="center"/>
                    <w:rPr>
                      <w:rFonts w:ascii="宋体" w:hAnsi="宋体"/>
                      <w:color w:val="000000"/>
                      <w:sz w:val="18"/>
                      <w:szCs w:val="11"/>
                    </w:rPr>
                  </w:pPr>
                  <w:r>
                    <w:rPr>
                      <w:rFonts w:hint="eastAsia" w:ascii="宋体" w:hAnsi="宋体"/>
                      <w:color w:val="000000"/>
                      <w:sz w:val="18"/>
                      <w:szCs w:val="11"/>
                    </w:rPr>
                    <w:t>序号</w:t>
                  </w:r>
                </w:p>
              </w:tc>
              <w:tc>
                <w:tcPr>
                  <w:tcW w:w="636" w:type="dxa"/>
                  <w:tcBorders>
                    <w:top w:val="single" w:color="auto" w:sz="4" w:space="0"/>
                    <w:left w:val="single" w:color="auto" w:sz="4" w:space="0"/>
                    <w:bottom w:val="single" w:color="auto" w:sz="4" w:space="0"/>
                    <w:right w:val="single" w:color="auto" w:sz="4" w:space="0"/>
                  </w:tcBorders>
                  <w:vAlign w:val="center"/>
                </w:tcPr>
                <w:p w14:paraId="596E3D40">
                  <w:pPr>
                    <w:jc w:val="center"/>
                    <w:rPr>
                      <w:rFonts w:ascii="宋体" w:hAnsi="宋体"/>
                      <w:color w:val="000000"/>
                      <w:sz w:val="18"/>
                      <w:szCs w:val="11"/>
                    </w:rPr>
                  </w:pPr>
                  <w:r>
                    <w:rPr>
                      <w:rFonts w:hint="eastAsia" w:ascii="宋体" w:hAnsi="宋体"/>
                      <w:color w:val="000000"/>
                      <w:sz w:val="18"/>
                      <w:szCs w:val="11"/>
                    </w:rPr>
                    <w:t>编号</w:t>
                  </w:r>
                </w:p>
              </w:tc>
              <w:tc>
                <w:tcPr>
                  <w:tcW w:w="1063" w:type="dxa"/>
                  <w:tcBorders>
                    <w:top w:val="single" w:color="auto" w:sz="4" w:space="0"/>
                    <w:left w:val="single" w:color="auto" w:sz="4" w:space="0"/>
                    <w:bottom w:val="single" w:color="auto" w:sz="4" w:space="0"/>
                    <w:right w:val="single" w:color="auto" w:sz="4" w:space="0"/>
                  </w:tcBorders>
                  <w:vAlign w:val="center"/>
                </w:tcPr>
                <w:p w14:paraId="2C0FC496">
                  <w:pPr>
                    <w:jc w:val="center"/>
                    <w:rPr>
                      <w:rFonts w:ascii="宋体" w:hAnsi="宋体"/>
                      <w:color w:val="000000"/>
                      <w:sz w:val="18"/>
                      <w:szCs w:val="11"/>
                    </w:rPr>
                  </w:pPr>
                  <w:r>
                    <w:rPr>
                      <w:rFonts w:hint="eastAsia" w:ascii="宋体" w:hAnsi="宋体"/>
                      <w:color w:val="000000"/>
                      <w:sz w:val="18"/>
                      <w:szCs w:val="11"/>
                      <w:lang w:val="en-US" w:eastAsia="zh-CN"/>
                    </w:rPr>
                    <w:t>板厚</w:t>
                  </w:r>
                  <w:r>
                    <w:rPr>
                      <w:rFonts w:hint="eastAsia" w:ascii="宋体" w:hAnsi="宋体"/>
                      <w:color w:val="000000"/>
                      <w:sz w:val="18"/>
                      <w:szCs w:val="11"/>
                    </w:rPr>
                    <w:t>（mm）</w:t>
                  </w:r>
                </w:p>
              </w:tc>
              <w:tc>
                <w:tcPr>
                  <w:tcW w:w="2290" w:type="dxa"/>
                  <w:tcBorders>
                    <w:top w:val="single" w:color="auto" w:sz="4" w:space="0"/>
                    <w:left w:val="single" w:color="auto" w:sz="4" w:space="0"/>
                    <w:bottom w:val="single" w:color="auto" w:sz="4" w:space="0"/>
                    <w:right w:val="single" w:color="auto" w:sz="4" w:space="0"/>
                  </w:tcBorders>
                  <w:vAlign w:val="center"/>
                </w:tcPr>
                <w:p w14:paraId="14CF4CD5">
                  <w:pPr>
                    <w:jc w:val="center"/>
                    <w:rPr>
                      <w:rFonts w:ascii="宋体" w:hAnsi="宋体"/>
                      <w:color w:val="000000"/>
                      <w:sz w:val="18"/>
                      <w:szCs w:val="11"/>
                    </w:rPr>
                  </w:pPr>
                  <w:r>
                    <w:rPr>
                      <w:rFonts w:hint="eastAsia" w:ascii="宋体" w:hAnsi="宋体"/>
                      <w:color w:val="000000"/>
                      <w:sz w:val="18"/>
                      <w:szCs w:val="11"/>
                      <w:lang w:val="en-US" w:eastAsia="zh-CN"/>
                    </w:rPr>
                    <w:t>机器人漏磁检测结果</w:t>
                  </w:r>
                  <w:r>
                    <w:rPr>
                      <w:rFonts w:hint="eastAsia" w:ascii="宋体" w:hAnsi="宋体"/>
                      <w:color w:val="000000"/>
                      <w:sz w:val="18"/>
                      <w:szCs w:val="11"/>
                    </w:rPr>
                    <w:t>（</w:t>
                  </w:r>
                  <w:r>
                    <w:rPr>
                      <w:rFonts w:hint="eastAsia" w:ascii="宋体" w:hAnsi="宋体"/>
                      <w:color w:val="000000"/>
                      <w:sz w:val="18"/>
                      <w:szCs w:val="11"/>
                      <w:lang w:val="en-US" w:eastAsia="zh-CN"/>
                    </w:rPr>
                    <w:t>%</w:t>
                  </w:r>
                  <w:r>
                    <w:rPr>
                      <w:rFonts w:hint="eastAsia" w:ascii="宋体" w:hAnsi="宋体"/>
                      <w:color w:val="000000"/>
                      <w:sz w:val="18"/>
                      <w:szCs w:val="11"/>
                    </w:rPr>
                    <w:t>）</w:t>
                  </w:r>
                </w:p>
              </w:tc>
              <w:tc>
                <w:tcPr>
                  <w:tcW w:w="1490" w:type="dxa"/>
                  <w:tcBorders>
                    <w:top w:val="single" w:color="auto" w:sz="4" w:space="0"/>
                    <w:left w:val="single" w:color="auto" w:sz="4" w:space="0"/>
                    <w:bottom w:val="single" w:color="auto" w:sz="4" w:space="0"/>
                    <w:right w:val="single" w:color="auto" w:sz="4" w:space="0"/>
                  </w:tcBorders>
                  <w:vAlign w:val="center"/>
                </w:tcPr>
                <w:p w14:paraId="064D0973">
                  <w:pPr>
                    <w:jc w:val="center"/>
                    <w:rPr>
                      <w:rFonts w:hint="eastAsia" w:ascii="宋体" w:hAnsi="宋体"/>
                      <w:color w:val="000000"/>
                      <w:sz w:val="18"/>
                      <w:szCs w:val="11"/>
                      <w:lang w:val="en-US" w:eastAsia="zh-CN"/>
                    </w:rPr>
                  </w:pPr>
                  <w:r>
                    <w:rPr>
                      <w:rFonts w:hint="eastAsia" w:ascii="宋体" w:hAnsi="宋体"/>
                      <w:color w:val="000000"/>
                      <w:sz w:val="18"/>
                      <w:szCs w:val="11"/>
                      <w:lang w:val="en-US" w:eastAsia="zh-CN"/>
                    </w:rPr>
                    <w:t>实测厚度</w:t>
                  </w:r>
                  <w:r>
                    <w:rPr>
                      <w:rFonts w:hint="eastAsia" w:ascii="宋体" w:hAnsi="宋体"/>
                      <w:color w:val="000000"/>
                      <w:sz w:val="18"/>
                      <w:szCs w:val="11"/>
                    </w:rPr>
                    <w:t>(mm)</w:t>
                  </w:r>
                </w:p>
              </w:tc>
            </w:tr>
            <w:tr w14:paraId="0C26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Borders>
                    <w:top w:val="single" w:color="auto" w:sz="4" w:space="0"/>
                    <w:left w:val="single" w:color="auto" w:sz="4" w:space="0"/>
                    <w:bottom w:val="single" w:color="auto" w:sz="4" w:space="0"/>
                    <w:right w:val="single" w:color="auto" w:sz="4" w:space="0"/>
                  </w:tcBorders>
                  <w:vAlign w:val="center"/>
                </w:tcPr>
                <w:p w14:paraId="33CB21B1">
                  <w:pPr>
                    <w:jc w:val="center"/>
                    <w:rPr>
                      <w:rFonts w:ascii="宋体" w:hAnsi="宋体"/>
                      <w:color w:val="000000"/>
                      <w:sz w:val="18"/>
                      <w:szCs w:val="11"/>
                    </w:rPr>
                  </w:pPr>
                  <w:r>
                    <w:rPr>
                      <w:rFonts w:hint="eastAsia" w:ascii="宋体" w:hAnsi="宋体"/>
                      <w:color w:val="000000"/>
                      <w:sz w:val="18"/>
                      <w:szCs w:val="11"/>
                    </w:rPr>
                    <w:t>1</w:t>
                  </w:r>
                </w:p>
              </w:tc>
              <w:tc>
                <w:tcPr>
                  <w:tcW w:w="636" w:type="dxa"/>
                  <w:tcBorders>
                    <w:top w:val="single" w:color="auto" w:sz="4" w:space="0"/>
                    <w:left w:val="single" w:color="auto" w:sz="4" w:space="0"/>
                    <w:bottom w:val="single" w:color="auto" w:sz="4" w:space="0"/>
                    <w:right w:val="single" w:color="auto" w:sz="4" w:space="0"/>
                  </w:tcBorders>
                  <w:vAlign w:val="center"/>
                </w:tcPr>
                <w:p w14:paraId="1C80F50F">
                  <w:pPr>
                    <w:jc w:val="center"/>
                    <w:rPr>
                      <w:rFonts w:ascii="宋体" w:hAnsi="宋体"/>
                      <w:color w:val="000000"/>
                      <w:sz w:val="18"/>
                      <w:szCs w:val="11"/>
                    </w:rPr>
                  </w:pPr>
                  <w:r>
                    <w:rPr>
                      <w:rFonts w:hint="eastAsia" w:ascii="宋体" w:hAnsi="宋体"/>
                      <w:color w:val="000000"/>
                      <w:sz w:val="18"/>
                      <w:szCs w:val="11"/>
                    </w:rPr>
                    <w:t>1#</w:t>
                  </w:r>
                </w:p>
              </w:tc>
              <w:tc>
                <w:tcPr>
                  <w:tcW w:w="1063" w:type="dxa"/>
                  <w:tcBorders>
                    <w:top w:val="single" w:color="auto" w:sz="4" w:space="0"/>
                    <w:left w:val="single" w:color="auto" w:sz="4" w:space="0"/>
                    <w:bottom w:val="single" w:color="auto" w:sz="4" w:space="0"/>
                    <w:right w:val="single" w:color="auto" w:sz="4" w:space="0"/>
                  </w:tcBorders>
                  <w:vAlign w:val="center"/>
                </w:tcPr>
                <w:p w14:paraId="543E316E">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6</w:t>
                  </w:r>
                </w:p>
              </w:tc>
              <w:tc>
                <w:tcPr>
                  <w:tcW w:w="2290" w:type="dxa"/>
                  <w:tcBorders>
                    <w:top w:val="single" w:color="auto" w:sz="4" w:space="0"/>
                    <w:left w:val="single" w:color="auto" w:sz="4" w:space="0"/>
                    <w:bottom w:val="single" w:color="auto" w:sz="4" w:space="0"/>
                    <w:right w:val="single" w:color="auto" w:sz="4" w:space="0"/>
                  </w:tcBorders>
                  <w:vAlign w:val="center"/>
                </w:tcPr>
                <w:p w14:paraId="72201979">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48.60%</w:t>
                  </w:r>
                </w:p>
              </w:tc>
              <w:tc>
                <w:tcPr>
                  <w:tcW w:w="1490" w:type="dxa"/>
                  <w:tcBorders>
                    <w:top w:val="single" w:color="auto" w:sz="4" w:space="0"/>
                    <w:left w:val="single" w:color="auto" w:sz="4" w:space="0"/>
                    <w:bottom w:val="single" w:color="auto" w:sz="4" w:space="0"/>
                    <w:right w:val="single" w:color="auto" w:sz="4" w:space="0"/>
                  </w:tcBorders>
                  <w:vAlign w:val="center"/>
                </w:tcPr>
                <w:p w14:paraId="42F4A33B">
                  <w:pPr>
                    <w:keepNext w:val="0"/>
                    <w:keepLines w:val="0"/>
                    <w:widowControl/>
                    <w:suppressLineNumbers w:val="0"/>
                    <w:jc w:val="right"/>
                    <w:textAlignment w:val="center"/>
                    <w:rPr>
                      <w:rFonts w:hint="eastAsia"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2.17</w:t>
                  </w:r>
                </w:p>
              </w:tc>
            </w:tr>
            <w:tr w14:paraId="0903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Borders>
                    <w:top w:val="single" w:color="auto" w:sz="4" w:space="0"/>
                    <w:left w:val="single" w:color="auto" w:sz="4" w:space="0"/>
                    <w:bottom w:val="single" w:color="auto" w:sz="4" w:space="0"/>
                    <w:right w:val="single" w:color="auto" w:sz="4" w:space="0"/>
                  </w:tcBorders>
                  <w:vAlign w:val="center"/>
                </w:tcPr>
                <w:p w14:paraId="3F81673F">
                  <w:pPr>
                    <w:jc w:val="center"/>
                    <w:rPr>
                      <w:rFonts w:ascii="宋体" w:hAnsi="宋体"/>
                      <w:color w:val="000000"/>
                      <w:sz w:val="18"/>
                      <w:szCs w:val="11"/>
                    </w:rPr>
                  </w:pPr>
                  <w:r>
                    <w:rPr>
                      <w:rFonts w:hint="eastAsia" w:ascii="宋体" w:hAnsi="宋体"/>
                      <w:color w:val="000000"/>
                      <w:sz w:val="18"/>
                      <w:szCs w:val="11"/>
                    </w:rPr>
                    <w:t>2</w:t>
                  </w:r>
                </w:p>
              </w:tc>
              <w:tc>
                <w:tcPr>
                  <w:tcW w:w="636" w:type="dxa"/>
                  <w:tcBorders>
                    <w:top w:val="single" w:color="auto" w:sz="4" w:space="0"/>
                    <w:left w:val="single" w:color="auto" w:sz="4" w:space="0"/>
                    <w:bottom w:val="single" w:color="auto" w:sz="4" w:space="0"/>
                    <w:right w:val="single" w:color="auto" w:sz="4" w:space="0"/>
                  </w:tcBorders>
                  <w:vAlign w:val="center"/>
                </w:tcPr>
                <w:p w14:paraId="70395002">
                  <w:pPr>
                    <w:jc w:val="center"/>
                    <w:rPr>
                      <w:rFonts w:ascii="宋体" w:hAnsi="宋体"/>
                      <w:color w:val="000000"/>
                      <w:sz w:val="18"/>
                      <w:szCs w:val="11"/>
                    </w:rPr>
                  </w:pPr>
                  <w:r>
                    <w:rPr>
                      <w:rFonts w:hint="eastAsia" w:ascii="宋体" w:hAnsi="宋体"/>
                      <w:color w:val="000000"/>
                      <w:sz w:val="18"/>
                      <w:szCs w:val="11"/>
                    </w:rPr>
                    <w:t>2#</w:t>
                  </w:r>
                </w:p>
              </w:tc>
              <w:tc>
                <w:tcPr>
                  <w:tcW w:w="1063" w:type="dxa"/>
                  <w:tcBorders>
                    <w:top w:val="single" w:color="auto" w:sz="4" w:space="0"/>
                    <w:left w:val="single" w:color="auto" w:sz="4" w:space="0"/>
                    <w:bottom w:val="single" w:color="auto" w:sz="4" w:space="0"/>
                    <w:right w:val="single" w:color="auto" w:sz="4" w:space="0"/>
                  </w:tcBorders>
                  <w:vAlign w:val="center"/>
                </w:tcPr>
                <w:p w14:paraId="1E9378B1">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8</w:t>
                  </w:r>
                </w:p>
              </w:tc>
              <w:tc>
                <w:tcPr>
                  <w:tcW w:w="2290" w:type="dxa"/>
                  <w:tcBorders>
                    <w:top w:val="single" w:color="auto" w:sz="4" w:space="0"/>
                    <w:left w:val="single" w:color="auto" w:sz="4" w:space="0"/>
                    <w:bottom w:val="single" w:color="auto" w:sz="4" w:space="0"/>
                    <w:right w:val="single" w:color="auto" w:sz="4" w:space="0"/>
                  </w:tcBorders>
                  <w:vAlign w:val="center"/>
                </w:tcPr>
                <w:p w14:paraId="64E2BF66">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39.53%</w:t>
                  </w:r>
                </w:p>
              </w:tc>
              <w:tc>
                <w:tcPr>
                  <w:tcW w:w="1490" w:type="dxa"/>
                  <w:tcBorders>
                    <w:top w:val="single" w:color="auto" w:sz="4" w:space="0"/>
                    <w:left w:val="single" w:color="auto" w:sz="4" w:space="0"/>
                    <w:bottom w:val="single" w:color="auto" w:sz="4" w:space="0"/>
                    <w:right w:val="single" w:color="auto" w:sz="4" w:space="0"/>
                  </w:tcBorders>
                  <w:vAlign w:val="center"/>
                </w:tcPr>
                <w:p w14:paraId="551EBA5E">
                  <w:pPr>
                    <w:keepNext w:val="0"/>
                    <w:keepLines w:val="0"/>
                    <w:widowControl/>
                    <w:suppressLineNumbers w:val="0"/>
                    <w:jc w:val="right"/>
                    <w:textAlignment w:val="center"/>
                    <w:rPr>
                      <w:rFonts w:hint="eastAsia"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4.96</w:t>
                  </w:r>
                </w:p>
              </w:tc>
            </w:tr>
            <w:tr w14:paraId="6F172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Borders>
                    <w:top w:val="single" w:color="auto" w:sz="4" w:space="0"/>
                    <w:left w:val="single" w:color="auto" w:sz="4" w:space="0"/>
                    <w:bottom w:val="single" w:color="auto" w:sz="4" w:space="0"/>
                    <w:right w:val="single" w:color="auto" w:sz="4" w:space="0"/>
                  </w:tcBorders>
                  <w:vAlign w:val="center"/>
                </w:tcPr>
                <w:p w14:paraId="798B449B">
                  <w:pPr>
                    <w:jc w:val="center"/>
                    <w:rPr>
                      <w:rFonts w:ascii="宋体" w:hAnsi="宋体"/>
                      <w:color w:val="000000"/>
                      <w:sz w:val="18"/>
                      <w:szCs w:val="11"/>
                    </w:rPr>
                  </w:pPr>
                  <w:r>
                    <w:rPr>
                      <w:rFonts w:hint="eastAsia" w:ascii="宋体" w:hAnsi="宋体"/>
                      <w:color w:val="000000"/>
                      <w:sz w:val="18"/>
                      <w:szCs w:val="11"/>
                    </w:rPr>
                    <w:t>3</w:t>
                  </w:r>
                </w:p>
              </w:tc>
              <w:tc>
                <w:tcPr>
                  <w:tcW w:w="636" w:type="dxa"/>
                  <w:tcBorders>
                    <w:top w:val="single" w:color="auto" w:sz="4" w:space="0"/>
                    <w:left w:val="single" w:color="auto" w:sz="4" w:space="0"/>
                    <w:bottom w:val="single" w:color="auto" w:sz="4" w:space="0"/>
                    <w:right w:val="single" w:color="auto" w:sz="4" w:space="0"/>
                  </w:tcBorders>
                  <w:vAlign w:val="center"/>
                </w:tcPr>
                <w:p w14:paraId="2A05FBFA">
                  <w:pPr>
                    <w:jc w:val="center"/>
                    <w:rPr>
                      <w:rFonts w:ascii="宋体" w:hAnsi="宋体"/>
                      <w:color w:val="000000"/>
                      <w:sz w:val="18"/>
                      <w:szCs w:val="11"/>
                    </w:rPr>
                  </w:pPr>
                  <w:r>
                    <w:rPr>
                      <w:rFonts w:hint="eastAsia" w:ascii="宋体" w:hAnsi="宋体"/>
                      <w:color w:val="000000"/>
                      <w:sz w:val="18"/>
                      <w:szCs w:val="11"/>
                    </w:rPr>
                    <w:t>3#</w:t>
                  </w:r>
                </w:p>
              </w:tc>
              <w:tc>
                <w:tcPr>
                  <w:tcW w:w="1063" w:type="dxa"/>
                  <w:tcBorders>
                    <w:top w:val="single" w:color="auto" w:sz="4" w:space="0"/>
                    <w:left w:val="single" w:color="auto" w:sz="4" w:space="0"/>
                    <w:bottom w:val="single" w:color="auto" w:sz="4" w:space="0"/>
                    <w:right w:val="single" w:color="auto" w:sz="4" w:space="0"/>
                  </w:tcBorders>
                  <w:vAlign w:val="center"/>
                </w:tcPr>
                <w:p w14:paraId="2C5ECC84">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8</w:t>
                  </w:r>
                </w:p>
              </w:tc>
              <w:tc>
                <w:tcPr>
                  <w:tcW w:w="2290" w:type="dxa"/>
                  <w:tcBorders>
                    <w:top w:val="single" w:color="auto" w:sz="4" w:space="0"/>
                    <w:left w:val="single" w:color="auto" w:sz="4" w:space="0"/>
                    <w:bottom w:val="single" w:color="auto" w:sz="4" w:space="0"/>
                    <w:right w:val="single" w:color="auto" w:sz="4" w:space="0"/>
                  </w:tcBorders>
                  <w:vAlign w:val="center"/>
                </w:tcPr>
                <w:p w14:paraId="687F3FBE">
                  <w:pPr>
                    <w:keepNext w:val="0"/>
                    <w:keepLines w:val="0"/>
                    <w:widowControl/>
                    <w:suppressLineNumbers w:val="0"/>
                    <w:jc w:val="right"/>
                    <w:textAlignment w:val="center"/>
                    <w:rPr>
                      <w:rFonts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25.32%</w:t>
                  </w:r>
                </w:p>
              </w:tc>
              <w:tc>
                <w:tcPr>
                  <w:tcW w:w="1490" w:type="dxa"/>
                  <w:tcBorders>
                    <w:top w:val="single" w:color="auto" w:sz="4" w:space="0"/>
                    <w:left w:val="single" w:color="auto" w:sz="4" w:space="0"/>
                    <w:bottom w:val="single" w:color="auto" w:sz="4" w:space="0"/>
                    <w:right w:val="single" w:color="auto" w:sz="4" w:space="0"/>
                  </w:tcBorders>
                  <w:vAlign w:val="center"/>
                </w:tcPr>
                <w:p w14:paraId="088B5AD4">
                  <w:pPr>
                    <w:keepNext w:val="0"/>
                    <w:keepLines w:val="0"/>
                    <w:widowControl/>
                    <w:suppressLineNumbers w:val="0"/>
                    <w:jc w:val="right"/>
                    <w:textAlignment w:val="center"/>
                    <w:rPr>
                      <w:rFonts w:hint="eastAsia" w:ascii="宋体" w:hAnsi="宋体"/>
                      <w:color w:val="000000"/>
                      <w:sz w:val="18"/>
                      <w:szCs w:val="11"/>
                    </w:rPr>
                  </w:pPr>
                  <w:r>
                    <w:rPr>
                      <w:rFonts w:hint="eastAsia" w:ascii="宋体" w:hAnsi="宋体" w:eastAsia="宋体" w:cs="宋体"/>
                      <w:i w:val="0"/>
                      <w:iCs w:val="0"/>
                      <w:color w:val="000000"/>
                      <w:kern w:val="0"/>
                      <w:sz w:val="22"/>
                      <w:szCs w:val="22"/>
                      <w:u w:val="none"/>
                      <w:lang w:val="en-US" w:eastAsia="zh-CN" w:bidi="ar"/>
                    </w:rPr>
                    <w:t>5.84</w:t>
                  </w:r>
                </w:p>
              </w:tc>
            </w:tr>
          </w:tbl>
          <w:p w14:paraId="52A9565A">
            <w:pPr>
              <w:ind w:firstLine="420" w:firstLineChars="200"/>
              <w:rPr>
                <w:rFonts w:hint="eastAsia" w:eastAsia="宋体"/>
                <w:color w:val="000000"/>
                <w:sz w:val="21"/>
                <w:szCs w:val="21"/>
                <w:lang w:val="en-US" w:eastAsia="zh-CN"/>
              </w:rPr>
            </w:pPr>
          </w:p>
          <w:p w14:paraId="79F18374">
            <w:pPr>
              <w:ind w:firstLine="420" w:firstLineChars="200"/>
              <w:rPr>
                <w:rFonts w:hint="eastAsia" w:eastAsia="宋体"/>
                <w:color w:val="000000"/>
                <w:sz w:val="21"/>
                <w:szCs w:val="21"/>
                <w:highlight w:val="none"/>
                <w:lang w:val="en-US" w:eastAsia="zh-CN"/>
              </w:rPr>
            </w:pPr>
            <w:r>
              <w:rPr>
                <w:rFonts w:hint="eastAsia" w:eastAsia="宋体"/>
                <w:color w:val="000000"/>
                <w:sz w:val="21"/>
                <w:szCs w:val="21"/>
                <w:lang w:val="en-US" w:eastAsia="zh-CN"/>
              </w:rPr>
              <w:t>现场对三处漏磁检测腐蚀缺陷进行了超声波测厚验证，结果如表1所示</w:t>
            </w:r>
            <w:r>
              <w:rPr>
                <w:rFonts w:hint="eastAsia" w:eastAsia="宋体"/>
                <w:color w:val="000000"/>
                <w:sz w:val="21"/>
                <w:szCs w:val="21"/>
                <w:highlight w:val="none"/>
                <w:lang w:val="en-US" w:eastAsia="zh-CN"/>
              </w:rPr>
              <w:t>，通过实测厚度对比可见检测结果有效。</w:t>
            </w:r>
          </w:p>
          <w:p w14:paraId="3D26227C">
            <w:pPr>
              <w:jc w:val="center"/>
            </w:pPr>
            <w:r>
              <w:drawing>
                <wp:inline distT="0" distB="0" distL="114300" distR="114300">
                  <wp:extent cx="2606675" cy="224980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rcRect r="21255"/>
                          <a:stretch>
                            <a:fillRect/>
                          </a:stretch>
                        </pic:blipFill>
                        <pic:spPr>
                          <a:xfrm>
                            <a:off x="0" y="0"/>
                            <a:ext cx="2606675" cy="2249805"/>
                          </a:xfrm>
                          <a:prstGeom prst="rect">
                            <a:avLst/>
                          </a:prstGeom>
                        </pic:spPr>
                      </pic:pic>
                    </a:graphicData>
                  </a:graphic>
                </wp:inline>
              </w:drawing>
            </w:r>
            <w:r>
              <w:drawing>
                <wp:inline distT="0" distB="0" distL="114300" distR="114300">
                  <wp:extent cx="2416810" cy="1837055"/>
                  <wp:effectExtent l="0" t="0" r="10795" b="2540"/>
                  <wp:docPr id="6" name="VID2020072914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D20200729143412"/>
                          <pic:cNvPicPr>
                            <a:picLocks noChangeAspect="1"/>
                          </pic:cNvPicPr>
                        </pic:nvPicPr>
                        <pic:blipFill>
                          <a:blip r:embed="rId11"/>
                          <a:srcRect l="18691"/>
                          <a:stretch>
                            <a:fillRect/>
                          </a:stretch>
                        </pic:blipFill>
                        <pic:spPr>
                          <a:xfrm rot="16200000">
                            <a:off x="0" y="0"/>
                            <a:ext cx="2416810" cy="1837055"/>
                          </a:xfrm>
                          <a:prstGeom prst="rect">
                            <a:avLst/>
                          </a:prstGeom>
                        </pic:spPr>
                      </pic:pic>
                    </a:graphicData>
                  </a:graphic>
                </wp:inline>
              </w:drawing>
            </w:r>
            <w:r>
              <w:drawing>
                <wp:inline distT="0" distB="0" distL="114300" distR="114300">
                  <wp:extent cx="2768600" cy="2005330"/>
                  <wp:effectExtent l="0" t="0" r="12700" b="13970"/>
                  <wp:docPr id="9" name="图片 5" descr="微信图片_2022120710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微信图片_20221207103117"/>
                          <pic:cNvPicPr>
                            <a:picLocks noChangeAspect="1"/>
                          </pic:cNvPicPr>
                        </pic:nvPicPr>
                        <pic:blipFill>
                          <a:blip r:embed="rId12"/>
                          <a:stretch>
                            <a:fillRect/>
                          </a:stretch>
                        </pic:blipFill>
                        <pic:spPr>
                          <a:xfrm rot="10800000">
                            <a:off x="0" y="0"/>
                            <a:ext cx="2768600" cy="2005330"/>
                          </a:xfrm>
                          <a:prstGeom prst="rect">
                            <a:avLst/>
                          </a:prstGeom>
                        </pic:spPr>
                      </pic:pic>
                    </a:graphicData>
                  </a:graphic>
                </wp:inline>
              </w:drawing>
            </w:r>
          </w:p>
          <w:p w14:paraId="386D283C">
            <w:pPr>
              <w:jc w:val="center"/>
              <w:rPr>
                <w:rFonts w:hint="default" w:eastAsia="仿宋_GB2312"/>
                <w:lang w:val="en-US" w:eastAsia="zh-CN"/>
              </w:rPr>
            </w:pPr>
            <w:r>
              <w:rPr>
                <w:rFonts w:hint="eastAsia" w:eastAsia="宋体"/>
                <w:color w:val="000000"/>
                <w:sz w:val="21"/>
                <w:szCs w:val="21"/>
                <w:lang w:val="en-US" w:eastAsia="zh-CN"/>
              </w:rPr>
              <w:t>图4漏磁检测腐蚀缺陷现场测厚验证</w:t>
            </w:r>
          </w:p>
          <w:p w14:paraId="352B5998">
            <w:pPr>
              <w:rPr>
                <w:rFonts w:hint="default"/>
                <w:lang w:val="en-US" w:eastAsia="zh-CN"/>
              </w:rPr>
            </w:pPr>
          </w:p>
          <w:p w14:paraId="092FD2C5">
            <w:pPr>
              <w:ind w:firstLine="420" w:firstLineChars="200"/>
              <w:rPr>
                <w:rFonts w:hint="default" w:eastAsia="宋体"/>
                <w:color w:val="000000"/>
                <w:sz w:val="21"/>
                <w:szCs w:val="21"/>
                <w:highlight w:val="none"/>
                <w:lang w:val="en-US" w:eastAsia="zh-CN"/>
              </w:rPr>
            </w:pPr>
            <w:r>
              <w:rPr>
                <w:rFonts w:hint="eastAsia" w:eastAsia="宋体"/>
                <w:color w:val="000000"/>
                <w:sz w:val="21"/>
                <w:szCs w:val="21"/>
                <w:highlight w:val="none"/>
                <w:lang w:val="en-US" w:eastAsia="zh-CN"/>
              </w:rPr>
              <w:t>漏磁检测机器人能够完成</w:t>
            </w:r>
            <w:r>
              <w:rPr>
                <w:rFonts w:hint="default" w:eastAsia="宋体"/>
                <w:color w:val="000000"/>
                <w:sz w:val="21"/>
                <w:szCs w:val="21"/>
                <w:highlight w:val="none"/>
                <w:lang w:val="en-US" w:eastAsia="zh-CN"/>
              </w:rPr>
              <w:t>路径规划</w:t>
            </w:r>
            <w:r>
              <w:rPr>
                <w:rFonts w:hint="eastAsia" w:eastAsia="宋体"/>
                <w:color w:val="000000"/>
                <w:sz w:val="21"/>
                <w:szCs w:val="21"/>
                <w:highlight w:val="none"/>
                <w:lang w:val="en-US" w:eastAsia="zh-CN"/>
              </w:rPr>
              <w:t>、</w:t>
            </w:r>
            <w:r>
              <w:rPr>
                <w:rFonts w:hint="default" w:eastAsia="宋体"/>
                <w:color w:val="000000"/>
                <w:sz w:val="21"/>
                <w:szCs w:val="21"/>
                <w:highlight w:val="none"/>
                <w:lang w:val="en-US" w:eastAsia="zh-CN"/>
              </w:rPr>
              <w:t>自动换轨</w:t>
            </w:r>
            <w:r>
              <w:rPr>
                <w:rFonts w:hint="eastAsia" w:eastAsia="宋体"/>
                <w:color w:val="000000"/>
                <w:sz w:val="21"/>
                <w:szCs w:val="21"/>
                <w:highlight w:val="none"/>
                <w:lang w:val="en-US" w:eastAsia="zh-CN"/>
              </w:rPr>
              <w:t>、障碍识别、定位误差、底板布置图自动创建、缺陷自主判定与检验结果输出，输出的储罐底板排板图、底板附属结构图（含障碍物， 蓝色显示）、最大缺陷分布图（受时间限制，本次比对中只完成半个底板的漏磁检测）等如图5中2.1至2.9所示，</w:t>
            </w:r>
          </w:p>
          <w:p w14:paraId="7ADD8CB3">
            <w:pPr>
              <w:jc w:val="center"/>
            </w:pPr>
            <w:r>
              <w:drawing>
                <wp:inline distT="0" distB="0" distL="114300" distR="114300">
                  <wp:extent cx="4582795" cy="5088890"/>
                  <wp:effectExtent l="0" t="0" r="8255" b="16510"/>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13"/>
                          <a:srcRect l="4033" t="1428" r="3306" b="2491"/>
                          <a:stretch>
                            <a:fillRect/>
                          </a:stretch>
                        </pic:blipFill>
                        <pic:spPr>
                          <a:xfrm>
                            <a:off x="0" y="0"/>
                            <a:ext cx="4582795" cy="5088890"/>
                          </a:xfrm>
                          <a:prstGeom prst="rect">
                            <a:avLst/>
                          </a:prstGeom>
                          <a:noFill/>
                          <a:ln>
                            <a:noFill/>
                          </a:ln>
                        </pic:spPr>
                      </pic:pic>
                    </a:graphicData>
                  </a:graphic>
                </wp:inline>
              </w:drawing>
            </w:r>
            <w:r>
              <w:drawing>
                <wp:inline distT="0" distB="0" distL="114300" distR="114300">
                  <wp:extent cx="3840480" cy="4328160"/>
                  <wp:effectExtent l="0" t="0" r="7620" b="15240"/>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14"/>
                          <a:srcRect l="3360" r="2297"/>
                          <a:stretch>
                            <a:fillRect/>
                          </a:stretch>
                        </pic:blipFill>
                        <pic:spPr>
                          <a:xfrm>
                            <a:off x="0" y="0"/>
                            <a:ext cx="3840480" cy="4328160"/>
                          </a:xfrm>
                          <a:prstGeom prst="rect">
                            <a:avLst/>
                          </a:prstGeom>
                          <a:noFill/>
                          <a:ln>
                            <a:noFill/>
                          </a:ln>
                        </pic:spPr>
                      </pic:pic>
                    </a:graphicData>
                  </a:graphic>
                </wp:inline>
              </w:drawing>
            </w:r>
            <w:r>
              <w:drawing>
                <wp:inline distT="0" distB="0" distL="114300" distR="114300">
                  <wp:extent cx="3597910" cy="3829050"/>
                  <wp:effectExtent l="0" t="0" r="2540" b="0"/>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15"/>
                          <a:stretch>
                            <a:fillRect/>
                          </a:stretch>
                        </pic:blipFill>
                        <pic:spPr>
                          <a:xfrm>
                            <a:off x="0" y="0"/>
                            <a:ext cx="3597910" cy="3829050"/>
                          </a:xfrm>
                          <a:prstGeom prst="rect">
                            <a:avLst/>
                          </a:prstGeom>
                          <a:noFill/>
                          <a:ln>
                            <a:noFill/>
                          </a:ln>
                        </pic:spPr>
                      </pic:pic>
                    </a:graphicData>
                  </a:graphic>
                </wp:inline>
              </w:drawing>
            </w:r>
          </w:p>
          <w:p w14:paraId="1C398E5A">
            <w:pPr>
              <w:jc w:val="both"/>
              <w:rPr>
                <w:rFonts w:hint="default" w:eastAsia="仿宋_GB2312"/>
                <w:lang w:val="en-US" w:eastAsia="zh-CN"/>
              </w:rPr>
            </w:pPr>
            <w:r>
              <w:rPr>
                <w:rFonts w:hint="eastAsia"/>
                <w:lang w:val="en-US" w:eastAsia="zh-CN"/>
              </w:rPr>
              <w:t xml:space="preserve">    </w:t>
            </w:r>
            <w:r>
              <w:rPr>
                <w:rFonts w:hint="eastAsia"/>
                <w:sz w:val="24"/>
                <w:szCs w:val="24"/>
                <w:lang w:val="en-US" w:eastAsia="zh-CN"/>
              </w:rPr>
              <w:t xml:space="preserve">  注：现场仅对储罐底板一半的区域进行了简称比对，故显示结果如上图。</w:t>
            </w:r>
          </w:p>
          <w:p w14:paraId="2CDE88DC">
            <w:pPr>
              <w:jc w:val="center"/>
            </w:pPr>
            <w:r>
              <w:drawing>
                <wp:inline distT="0" distB="0" distL="114300" distR="114300">
                  <wp:extent cx="4015105" cy="4202430"/>
                  <wp:effectExtent l="0" t="0" r="4445" b="762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16"/>
                          <a:srcRect t="981" b="714"/>
                          <a:stretch>
                            <a:fillRect/>
                          </a:stretch>
                        </pic:blipFill>
                        <pic:spPr>
                          <a:xfrm>
                            <a:off x="0" y="0"/>
                            <a:ext cx="4015105" cy="4202430"/>
                          </a:xfrm>
                          <a:prstGeom prst="rect">
                            <a:avLst/>
                          </a:prstGeom>
                          <a:noFill/>
                          <a:ln>
                            <a:noFill/>
                          </a:ln>
                        </pic:spPr>
                      </pic:pic>
                    </a:graphicData>
                  </a:graphic>
                </wp:inline>
              </w:drawing>
            </w:r>
          </w:p>
          <w:p w14:paraId="452172E2">
            <w:pPr>
              <w:jc w:val="center"/>
            </w:pPr>
            <w:r>
              <w:drawing>
                <wp:inline distT="0" distB="0" distL="114300" distR="114300">
                  <wp:extent cx="4076700" cy="4278630"/>
                  <wp:effectExtent l="0" t="0" r="0" b="7620"/>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17"/>
                          <a:srcRect b="1187"/>
                          <a:stretch>
                            <a:fillRect/>
                          </a:stretch>
                        </pic:blipFill>
                        <pic:spPr>
                          <a:xfrm>
                            <a:off x="0" y="0"/>
                            <a:ext cx="4076700" cy="4278630"/>
                          </a:xfrm>
                          <a:prstGeom prst="rect">
                            <a:avLst/>
                          </a:prstGeom>
                          <a:noFill/>
                          <a:ln>
                            <a:noFill/>
                          </a:ln>
                        </pic:spPr>
                      </pic:pic>
                    </a:graphicData>
                  </a:graphic>
                </wp:inline>
              </w:drawing>
            </w:r>
          </w:p>
          <w:p w14:paraId="125B3826">
            <w:pPr>
              <w:jc w:val="center"/>
            </w:pPr>
            <w:r>
              <w:drawing>
                <wp:inline distT="0" distB="0" distL="114300" distR="114300">
                  <wp:extent cx="3724910" cy="3253740"/>
                  <wp:effectExtent l="0" t="0" r="8890" b="3810"/>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pic:cNvPicPr>
                            <a:picLocks noChangeAspect="1"/>
                          </pic:cNvPicPr>
                        </pic:nvPicPr>
                        <pic:blipFill>
                          <a:blip r:embed="rId18"/>
                          <a:srcRect b="21495"/>
                          <a:stretch>
                            <a:fillRect/>
                          </a:stretch>
                        </pic:blipFill>
                        <pic:spPr>
                          <a:xfrm>
                            <a:off x="0" y="0"/>
                            <a:ext cx="3724910" cy="3253740"/>
                          </a:xfrm>
                          <a:prstGeom prst="rect">
                            <a:avLst/>
                          </a:prstGeom>
                          <a:noFill/>
                          <a:ln>
                            <a:noFill/>
                          </a:ln>
                        </pic:spPr>
                      </pic:pic>
                    </a:graphicData>
                  </a:graphic>
                </wp:inline>
              </w:drawing>
            </w:r>
          </w:p>
          <w:p w14:paraId="382155AF">
            <w:pPr>
              <w:jc w:val="center"/>
            </w:pPr>
            <w:r>
              <w:drawing>
                <wp:inline distT="0" distB="0" distL="114300" distR="114300">
                  <wp:extent cx="3201670" cy="4702810"/>
                  <wp:effectExtent l="0" t="0" r="17780" b="254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19"/>
                          <a:stretch>
                            <a:fillRect/>
                          </a:stretch>
                        </pic:blipFill>
                        <pic:spPr>
                          <a:xfrm>
                            <a:off x="0" y="0"/>
                            <a:ext cx="3201670" cy="4702810"/>
                          </a:xfrm>
                          <a:prstGeom prst="rect">
                            <a:avLst/>
                          </a:prstGeom>
                          <a:noFill/>
                          <a:ln>
                            <a:noFill/>
                          </a:ln>
                        </pic:spPr>
                      </pic:pic>
                    </a:graphicData>
                  </a:graphic>
                </wp:inline>
              </w:drawing>
            </w:r>
          </w:p>
          <w:p w14:paraId="029FBCEE">
            <w:pPr>
              <w:jc w:val="center"/>
              <w:rPr>
                <w:rFonts w:hint="default" w:eastAsia="宋体"/>
                <w:color w:val="000000"/>
                <w:sz w:val="21"/>
                <w:szCs w:val="21"/>
                <w:lang w:val="en-US" w:eastAsia="zh-CN"/>
              </w:rPr>
            </w:pPr>
            <w:r>
              <w:rPr>
                <w:rFonts w:hint="eastAsia" w:eastAsia="宋体"/>
                <w:color w:val="000000"/>
                <w:sz w:val="21"/>
                <w:szCs w:val="21"/>
                <w:lang w:val="en-US" w:eastAsia="zh-CN"/>
              </w:rPr>
              <w:t>图5 比对结果图、表</w:t>
            </w:r>
          </w:p>
          <w:p w14:paraId="43C12A3A">
            <w:pPr>
              <w:ind w:firstLine="420" w:firstLineChars="200"/>
              <w:rPr>
                <w:rFonts w:hint="default" w:eastAsia="宋体"/>
                <w:color w:val="000000"/>
                <w:sz w:val="21"/>
                <w:szCs w:val="21"/>
                <w:lang w:val="en-US" w:eastAsia="zh-CN"/>
              </w:rPr>
            </w:pPr>
            <w:r>
              <w:rPr>
                <w:rFonts w:hint="eastAsia" w:eastAsia="宋体"/>
                <w:color w:val="000000"/>
                <w:sz w:val="21"/>
                <w:szCs w:val="21"/>
                <w:lang w:val="en-US" w:eastAsia="zh-CN"/>
              </w:rPr>
              <w:t>人工操作中可发现，换轨扫查带重叠宽度带有不确定性。</w:t>
            </w:r>
          </w:p>
          <w:p w14:paraId="5E41528C">
            <w:pPr>
              <w:ind w:firstLine="420" w:firstLineChars="200"/>
              <w:rPr>
                <w:rFonts w:hint="eastAsia" w:eastAsia="宋体"/>
                <w:color w:val="000000"/>
                <w:sz w:val="21"/>
                <w:szCs w:val="21"/>
                <w:lang w:val="en-US" w:eastAsia="zh-CN"/>
              </w:rPr>
            </w:pPr>
            <w:r>
              <w:rPr>
                <w:rFonts w:hint="eastAsia" w:eastAsia="宋体"/>
                <w:color w:val="000000"/>
                <w:sz w:val="21"/>
                <w:szCs w:val="21"/>
                <w:lang w:val="en-US" w:eastAsia="zh-CN"/>
              </w:rPr>
              <w:t>测试验证对定位误差进行了验证分析，结果如图6所示，定位误差为40mm以内的数据点占比为98.9%，通过增加参照物，该比例可以达到100%。</w:t>
            </w:r>
          </w:p>
          <w:p w14:paraId="5DCDB20A">
            <w:pPr>
              <w:jc w:val="center"/>
              <w:rPr>
                <w:rFonts w:hint="default" w:eastAsia="宋体"/>
                <w:color w:val="000000"/>
                <w:sz w:val="21"/>
                <w:szCs w:val="21"/>
                <w:lang w:val="en-US" w:eastAsia="zh-CN"/>
              </w:rPr>
            </w:pPr>
            <w:r>
              <w:drawing>
                <wp:inline distT="0" distB="0" distL="114300" distR="114300">
                  <wp:extent cx="4610735" cy="2592070"/>
                  <wp:effectExtent l="0" t="0" r="18415" b="1778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20"/>
                          <a:stretch>
                            <a:fillRect/>
                          </a:stretch>
                        </pic:blipFill>
                        <pic:spPr>
                          <a:xfrm>
                            <a:off x="0" y="0"/>
                            <a:ext cx="4610735" cy="2592070"/>
                          </a:xfrm>
                          <a:prstGeom prst="rect">
                            <a:avLst/>
                          </a:prstGeom>
                          <a:noFill/>
                          <a:ln>
                            <a:noFill/>
                          </a:ln>
                        </pic:spPr>
                      </pic:pic>
                    </a:graphicData>
                  </a:graphic>
                </wp:inline>
              </w:drawing>
            </w:r>
          </w:p>
          <w:p w14:paraId="757D6B78">
            <w:pPr>
              <w:jc w:val="center"/>
              <w:rPr>
                <w:rFonts w:hint="eastAsia" w:eastAsia="宋体"/>
                <w:color w:val="000000"/>
                <w:sz w:val="21"/>
                <w:szCs w:val="21"/>
                <w:lang w:val="en-US" w:eastAsia="zh-CN"/>
              </w:rPr>
            </w:pPr>
            <w:r>
              <w:rPr>
                <w:rFonts w:hint="eastAsia" w:eastAsia="宋体"/>
                <w:color w:val="000000"/>
                <w:sz w:val="21"/>
                <w:szCs w:val="21"/>
                <w:lang w:val="en-US" w:eastAsia="zh-CN"/>
              </w:rPr>
              <w:t>图6 中石化江阴</w:t>
            </w:r>
            <w:r>
              <w:rPr>
                <w:rFonts w:hint="eastAsia" w:eastAsia="宋体"/>
                <w:color w:val="000000"/>
                <w:sz w:val="21"/>
                <w:szCs w:val="21"/>
                <w:lang w:eastAsia="zh-CN"/>
              </w:rPr>
              <w:t>长山油库</w:t>
            </w:r>
            <w:r>
              <w:rPr>
                <w:rFonts w:hint="eastAsia" w:eastAsia="宋体"/>
                <w:color w:val="000000"/>
                <w:sz w:val="21"/>
                <w:szCs w:val="21"/>
                <w:lang w:val="en-US" w:eastAsia="zh-CN"/>
              </w:rPr>
              <w:t>定位误差分析数据</w:t>
            </w:r>
          </w:p>
          <w:p w14:paraId="05038786">
            <w:pPr>
              <w:rPr>
                <w:rFonts w:hint="eastAsia" w:eastAsia="宋体"/>
                <w:color w:val="000000"/>
                <w:sz w:val="21"/>
                <w:szCs w:val="21"/>
              </w:rPr>
            </w:pPr>
          </w:p>
          <w:p w14:paraId="64124109">
            <w:pPr>
              <w:rPr>
                <w:rFonts w:eastAsia="宋体"/>
                <w:color w:val="000000"/>
                <w:sz w:val="21"/>
                <w:szCs w:val="21"/>
              </w:rPr>
            </w:pPr>
            <w:r>
              <w:rPr>
                <w:rFonts w:hint="eastAsia" w:eastAsia="宋体"/>
                <w:color w:val="000000"/>
                <w:sz w:val="21"/>
                <w:szCs w:val="21"/>
              </w:rPr>
              <w:t>2、202</w:t>
            </w:r>
            <w:r>
              <w:rPr>
                <w:rFonts w:hint="eastAsia" w:eastAsia="宋体"/>
                <w:color w:val="000000"/>
                <w:sz w:val="21"/>
                <w:szCs w:val="21"/>
                <w:lang w:val="en-US" w:eastAsia="zh-CN"/>
              </w:rPr>
              <w:t>6</w:t>
            </w:r>
            <w:r>
              <w:rPr>
                <w:rFonts w:hint="eastAsia" w:eastAsia="宋体"/>
                <w:color w:val="000000"/>
                <w:sz w:val="21"/>
                <w:szCs w:val="21"/>
              </w:rPr>
              <w:t>年</w:t>
            </w:r>
            <w:r>
              <w:rPr>
                <w:rFonts w:hint="eastAsia" w:eastAsia="宋体"/>
                <w:color w:val="000000"/>
                <w:sz w:val="21"/>
                <w:szCs w:val="21"/>
                <w:lang w:val="en-US" w:eastAsia="zh-CN"/>
              </w:rPr>
              <w:t>3</w:t>
            </w:r>
            <w:r>
              <w:rPr>
                <w:rFonts w:hint="eastAsia" w:eastAsia="宋体"/>
                <w:color w:val="000000"/>
                <w:sz w:val="21"/>
                <w:szCs w:val="21"/>
              </w:rPr>
              <w:t>月</w:t>
            </w:r>
            <w:r>
              <w:rPr>
                <w:rFonts w:hint="eastAsia" w:eastAsia="宋体"/>
                <w:color w:val="000000"/>
                <w:sz w:val="21"/>
                <w:szCs w:val="21"/>
                <w:lang w:val="en-US" w:eastAsia="zh-CN"/>
              </w:rPr>
              <w:t>现场</w:t>
            </w:r>
            <w:r>
              <w:rPr>
                <w:rFonts w:hint="eastAsia" w:eastAsia="宋体"/>
                <w:color w:val="000000"/>
                <w:sz w:val="21"/>
                <w:szCs w:val="21"/>
                <w:highlight w:val="none"/>
                <w:lang w:val="en-US" w:eastAsia="zh-CN"/>
              </w:rPr>
              <w:t>测试验证</w:t>
            </w:r>
          </w:p>
          <w:p w14:paraId="749BE391">
            <w:pPr>
              <w:ind w:firstLine="420" w:firstLineChars="200"/>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2026年3月19日—20日，</w:t>
            </w:r>
            <w:r>
              <w:rPr>
                <w:rFonts w:hint="eastAsia" w:eastAsia="宋体"/>
                <w:color w:val="000000"/>
                <w:sz w:val="21"/>
                <w:szCs w:val="21"/>
                <w:highlight w:val="none"/>
                <w:lang w:eastAsia="zh-CN"/>
              </w:rPr>
              <w:t>西红柿科技（武汉）有限公司、中石化管道技术服务有限公司、武汉华宇一目检测装备有限公司、广东省特种设备检测研究院、深圳市中昌探伤器材有限公司</w:t>
            </w:r>
            <w:r>
              <w:rPr>
                <w:rFonts w:hint="eastAsia" w:eastAsia="宋体"/>
                <w:color w:val="000000"/>
                <w:sz w:val="21"/>
                <w:szCs w:val="21"/>
                <w:highlight w:val="none"/>
                <w:lang w:val="en-US" w:eastAsia="zh-CN"/>
              </w:rPr>
              <w:t>于武汉通过西红柿科技（武汉）有限公司和中石化工程质量监测有限公司共建的测试储罐完成了第二次测试验证，测试对象为直径10米、底板厚度6-20mm的储罐，储罐底板上下表面预制有20%、40%、60%、80%的减薄缺陷，有可移动的模拟障碍物的浮顶杆、牺牲阳极等。本次测试验证完成了相邻轨迹扫查带有效重叠、</w:t>
            </w:r>
            <w:r>
              <w:rPr>
                <w:rFonts w:hint="default" w:eastAsia="宋体"/>
                <w:color w:val="000000"/>
                <w:sz w:val="21"/>
                <w:szCs w:val="21"/>
                <w:highlight w:val="none"/>
                <w:lang w:val="en-US" w:eastAsia="zh-CN"/>
              </w:rPr>
              <w:t>垂直原扫查方向</w:t>
            </w:r>
            <w:r>
              <w:rPr>
                <w:rFonts w:hint="eastAsia" w:eastAsia="宋体"/>
                <w:color w:val="000000"/>
                <w:sz w:val="21"/>
                <w:szCs w:val="21"/>
                <w:highlight w:val="none"/>
                <w:lang w:val="en-US" w:eastAsia="zh-CN"/>
              </w:rPr>
              <w:t>的缺陷验证、</w:t>
            </w:r>
            <w:r>
              <w:rPr>
                <w:rFonts w:hint="default" w:eastAsia="宋体"/>
                <w:color w:val="000000"/>
                <w:sz w:val="21"/>
                <w:szCs w:val="21"/>
                <w:highlight w:val="none"/>
                <w:lang w:val="en-US" w:eastAsia="zh-CN"/>
              </w:rPr>
              <w:t>检测厚度</w:t>
            </w:r>
            <w:r>
              <w:rPr>
                <w:rFonts w:hint="eastAsia" w:eastAsia="宋体"/>
                <w:color w:val="000000"/>
                <w:sz w:val="21"/>
                <w:szCs w:val="21"/>
                <w:highlight w:val="none"/>
                <w:lang w:val="en-US" w:eastAsia="zh-CN"/>
              </w:rPr>
              <w:t>性能、漏磁检测灵敏度、安全保护功能的测试验证，</w:t>
            </w:r>
            <w:r>
              <w:rPr>
                <w:rFonts w:hint="eastAsia" w:eastAsia="宋体"/>
                <w:color w:val="000000"/>
                <w:sz w:val="21"/>
                <w:szCs w:val="21"/>
              </w:rPr>
              <w:t>如图</w:t>
            </w:r>
            <w:r>
              <w:rPr>
                <w:rFonts w:hint="eastAsia" w:eastAsia="宋体"/>
                <w:color w:val="000000"/>
                <w:sz w:val="21"/>
                <w:szCs w:val="21"/>
                <w:lang w:val="en-US" w:eastAsia="zh-CN"/>
              </w:rPr>
              <w:t>7</w:t>
            </w:r>
            <w:r>
              <w:rPr>
                <w:rFonts w:hint="eastAsia" w:eastAsia="宋体"/>
                <w:color w:val="000000"/>
                <w:sz w:val="21"/>
                <w:szCs w:val="21"/>
              </w:rPr>
              <w:t>所示。</w:t>
            </w:r>
          </w:p>
          <w:p w14:paraId="52E5B22E">
            <w:pPr>
              <w:ind w:firstLine="420" w:firstLineChars="200"/>
              <w:rPr>
                <w:rFonts w:eastAsia="宋体"/>
                <w:color w:val="000000"/>
                <w:sz w:val="21"/>
                <w:szCs w:val="21"/>
              </w:rPr>
            </w:pP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51"/>
            </w:tblGrid>
            <w:tr w14:paraId="7F870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 w:hRule="atLeast"/>
                <w:jc w:val="center"/>
              </w:trPr>
              <w:tc>
                <w:tcPr>
                  <w:tcW w:w="5251" w:type="dxa"/>
                  <w:vAlign w:val="center"/>
                </w:tcPr>
                <w:p w14:paraId="670680C6">
                  <w:pPr>
                    <w:jc w:val="center"/>
                    <w:rPr>
                      <w:rFonts w:eastAsia="宋体"/>
                      <w:sz w:val="18"/>
                      <w:szCs w:val="18"/>
                    </w:rPr>
                  </w:pPr>
                  <w:r>
                    <w:rPr>
                      <w:rFonts w:hint="eastAsia" w:eastAsia="宋体"/>
                      <w:sz w:val="18"/>
                      <w:szCs w:val="18"/>
                    </w:rPr>
                    <w:t xml:space="preserve">   </w:t>
                  </w:r>
                  <w:r>
                    <w:rPr>
                      <w:rFonts w:hint="eastAsia" w:ascii="Arial" w:hAnsi="Arial" w:eastAsia="等线" w:cs="Arial"/>
                      <w:b/>
                      <w:sz w:val="36"/>
                      <w:lang w:eastAsia="zh-CN"/>
                    </w:rPr>
                    <w:drawing>
                      <wp:inline distT="0" distB="0" distL="114300" distR="114300">
                        <wp:extent cx="3191510" cy="2393950"/>
                        <wp:effectExtent l="0" t="0" r="8890" b="6350"/>
                        <wp:docPr id="2" name="图片 2" descr="beb2d76e7670879deded15d77d03e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eb2d76e7670879deded15d77d03e95c"/>
                                <pic:cNvPicPr>
                                  <a:picLocks noChangeAspect="1"/>
                                </pic:cNvPicPr>
                              </pic:nvPicPr>
                              <pic:blipFill>
                                <a:blip r:embed="rId21"/>
                                <a:stretch>
                                  <a:fillRect/>
                                </a:stretch>
                              </pic:blipFill>
                              <pic:spPr>
                                <a:xfrm>
                                  <a:off x="0" y="0"/>
                                  <a:ext cx="3191510" cy="2393950"/>
                                </a:xfrm>
                                <a:prstGeom prst="rect">
                                  <a:avLst/>
                                </a:prstGeom>
                              </pic:spPr>
                            </pic:pic>
                          </a:graphicData>
                        </a:graphic>
                      </wp:inline>
                    </w:drawing>
                  </w:r>
                </w:p>
              </w:tc>
            </w:tr>
            <w:tr w14:paraId="1E9CE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 w:hRule="atLeast"/>
                <w:jc w:val="center"/>
              </w:trPr>
              <w:tc>
                <w:tcPr>
                  <w:tcW w:w="5251" w:type="dxa"/>
                  <w:vAlign w:val="center"/>
                </w:tcPr>
                <w:p w14:paraId="3529C5FA">
                  <w:pPr>
                    <w:jc w:val="center"/>
                    <w:rPr>
                      <w:rFonts w:hint="default" w:eastAsia="宋体"/>
                      <w:sz w:val="18"/>
                      <w:szCs w:val="18"/>
                      <w:lang w:val="en-US" w:eastAsia="zh-CN"/>
                    </w:rPr>
                  </w:pPr>
                  <w:r>
                    <w:rPr>
                      <w:rFonts w:hint="eastAsia" w:eastAsia="宋体"/>
                      <w:sz w:val="21"/>
                      <w:szCs w:val="21"/>
                    </w:rPr>
                    <w:t>图</w:t>
                  </w:r>
                  <w:r>
                    <w:rPr>
                      <w:rFonts w:hint="eastAsia" w:eastAsia="宋体"/>
                      <w:sz w:val="21"/>
                      <w:szCs w:val="21"/>
                      <w:lang w:val="en-US" w:eastAsia="zh-CN"/>
                    </w:rPr>
                    <w:t>7漏磁检测机器人</w:t>
                  </w:r>
                  <w:r>
                    <w:rPr>
                      <w:rFonts w:hint="eastAsia" w:eastAsia="宋体"/>
                      <w:sz w:val="21"/>
                      <w:szCs w:val="21"/>
                    </w:rPr>
                    <w:t>现场</w:t>
                  </w:r>
                  <w:r>
                    <w:rPr>
                      <w:rFonts w:hint="eastAsia" w:eastAsia="宋体"/>
                      <w:sz w:val="21"/>
                      <w:szCs w:val="21"/>
                      <w:lang w:val="en-US" w:eastAsia="zh-CN"/>
                    </w:rPr>
                    <w:t>检测验证</w:t>
                  </w:r>
                </w:p>
              </w:tc>
            </w:tr>
          </w:tbl>
          <w:p w14:paraId="734F5B7A">
            <w:pPr>
              <w:rPr>
                <w:rFonts w:eastAsia="等线" w:cs="等线"/>
                <w:color w:val="000000"/>
                <w:sz w:val="21"/>
                <w:szCs w:val="21"/>
              </w:rPr>
            </w:pPr>
            <w:r>
              <w:rPr>
                <w:rFonts w:hint="eastAsia" w:eastAsia="宋体"/>
                <w:color w:val="000000"/>
                <w:sz w:val="21"/>
                <w:szCs w:val="21"/>
              </w:rPr>
              <w:t xml:space="preserve">  </w:t>
            </w:r>
          </w:p>
        </w:tc>
      </w:tr>
      <w:tr w14:paraId="7E82E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108" w:hRule="atLeast"/>
        </w:trPr>
        <w:tc>
          <w:tcPr>
            <w:tcW w:w="1688" w:type="dxa"/>
            <w:tcBorders>
              <w:top w:val="single" w:color="auto" w:sz="6" w:space="0"/>
              <w:left w:val="single" w:color="auto" w:sz="4" w:space="0"/>
              <w:bottom w:val="single" w:color="auto" w:sz="6" w:space="0"/>
              <w:right w:val="single" w:color="auto" w:sz="4" w:space="0"/>
            </w:tcBorders>
            <w:vAlign w:val="center"/>
          </w:tcPr>
          <w:p w14:paraId="1DF66980">
            <w:pPr>
              <w:jc w:val="center"/>
              <w:rPr>
                <w:rFonts w:eastAsia="等线" w:cs="等线"/>
                <w:b/>
                <w:color w:val="000000"/>
                <w:sz w:val="21"/>
                <w:szCs w:val="21"/>
              </w:rPr>
            </w:pPr>
            <w:r>
              <w:rPr>
                <w:rFonts w:hint="eastAsia" w:eastAsia="等线" w:cs="等线"/>
                <w:color w:val="000000"/>
                <w:sz w:val="21"/>
                <w:szCs w:val="21"/>
              </w:rPr>
              <w:t>5.3 验证数据分析</w:t>
            </w:r>
          </w:p>
        </w:tc>
        <w:tc>
          <w:tcPr>
            <w:tcW w:w="7331" w:type="dxa"/>
            <w:gridSpan w:val="10"/>
            <w:tcBorders>
              <w:top w:val="single" w:color="auto" w:sz="6" w:space="0"/>
              <w:left w:val="single" w:color="auto" w:sz="4" w:space="0"/>
              <w:bottom w:val="single" w:color="auto" w:sz="6" w:space="0"/>
              <w:right w:val="single" w:color="auto" w:sz="4" w:space="0"/>
            </w:tcBorders>
          </w:tcPr>
          <w:p w14:paraId="2545C729">
            <w:pPr>
              <w:ind w:firstLine="420" w:firstLineChars="200"/>
              <w:rPr>
                <w:rFonts w:hint="eastAsia" w:eastAsia="宋体"/>
                <w:color w:val="000000"/>
                <w:sz w:val="21"/>
                <w:szCs w:val="21"/>
                <w:highlight w:val="none"/>
                <w:lang w:eastAsia="zh-CN"/>
              </w:rPr>
            </w:pPr>
            <w:r>
              <w:rPr>
                <w:rFonts w:hint="eastAsia" w:eastAsia="宋体"/>
                <w:color w:val="000000"/>
                <w:sz w:val="21"/>
                <w:szCs w:val="21"/>
                <w:highlight w:val="none"/>
                <w:lang w:val="en-US" w:eastAsia="zh-CN"/>
              </w:rPr>
              <w:t>为确保标准中各项技术要求的科学性、合理性和可操作性，保障漏磁检测机器人自主检测工作的有效开展，编制过程中组织开展了多次现场对比验证及实验室测试验证工作，对漏磁检测机器人的核心功能、关键性能指标进行全面检测验证，具体情况如下：</w:t>
            </w:r>
          </w:p>
          <w:p w14:paraId="42C3C5AB">
            <w:pPr>
              <w:ind w:firstLine="420" w:firstLineChars="200"/>
              <w:rPr>
                <w:rFonts w:hint="eastAsia" w:eastAsia="宋体"/>
                <w:color w:val="000000"/>
                <w:sz w:val="21"/>
                <w:szCs w:val="21"/>
                <w:highlight w:val="none"/>
                <w:lang w:eastAsia="zh-CN"/>
              </w:rPr>
            </w:pPr>
            <w:r>
              <w:rPr>
                <w:rFonts w:hint="eastAsia" w:eastAsia="宋体"/>
                <w:color w:val="000000"/>
                <w:sz w:val="21"/>
                <w:szCs w:val="21"/>
                <w:highlight w:val="none"/>
                <w:lang w:val="en-US" w:eastAsia="zh-CN"/>
              </w:rPr>
              <w:t>历次验证严格按照预设的验证方案，选取不同工况、不同检测环境，通过多轮次、多场景重复测试，重点对漏磁检测机器人的路径规划、自主避障、自动换轨、障碍识别、定位误差、磁化强度自主调节、检测灵敏度、检测厚度能力、底板布置图自动创建、缺陷自主判定与检验结果输出等核心功能及性能指标进行系统性验证。</w:t>
            </w:r>
          </w:p>
          <w:p w14:paraId="7D52144C">
            <w:pPr>
              <w:ind w:firstLine="420" w:firstLineChars="200"/>
              <w:rPr>
                <w:rFonts w:hint="eastAsia" w:eastAsia="宋体"/>
                <w:color w:val="000000"/>
                <w:sz w:val="21"/>
                <w:szCs w:val="21"/>
              </w:rPr>
            </w:pPr>
            <w:r>
              <w:rPr>
                <w:rFonts w:hint="eastAsia" w:eastAsia="宋体"/>
                <w:color w:val="000000"/>
                <w:sz w:val="21"/>
                <w:szCs w:val="21"/>
                <w:highlight w:val="none"/>
                <w:lang w:val="en-US" w:eastAsia="zh-CN"/>
              </w:rPr>
              <w:t>经验证，漏磁检测机器人在各类工况下，路径规划精准高效，可根据检测区域实际情况自主优化路径，避免冗余检测；自主避障响应及时，能准确识别各类障碍物并完成规避，无碰撞、卡滞现象；自动换轨动作平稳可靠，换轨灵活性高；障碍识别准确率高，可有效区分不同类型、不同尺寸的障碍物；定位误差控制在标准规定范围内，满足精准检测需求；磁化强度可根据底板厚度自主调节，适配不同板厚之间的连续检测；检测灵敏度达标，能精准识别20%圆底缺陷；检测厚度能力符合设计要求，可覆盖预设检测范围；底板布置图自动创建快速准确，可真实还原检测区域布局；缺陷自主判定逻辑严谨，检验结果输出规范、清晰，可直接为检测评估提供可靠依据。</w:t>
            </w:r>
          </w:p>
        </w:tc>
      </w:tr>
      <w:tr w14:paraId="5AE82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168" w:hRule="atLeast"/>
        </w:trPr>
        <w:tc>
          <w:tcPr>
            <w:tcW w:w="1688" w:type="dxa"/>
            <w:tcBorders>
              <w:top w:val="single" w:color="auto" w:sz="6" w:space="0"/>
              <w:left w:val="single" w:color="auto" w:sz="4" w:space="0"/>
              <w:bottom w:val="single" w:color="auto" w:sz="6" w:space="0"/>
              <w:right w:val="single" w:color="auto" w:sz="4" w:space="0"/>
            </w:tcBorders>
            <w:vAlign w:val="center"/>
          </w:tcPr>
          <w:p w14:paraId="7E82ACD9">
            <w:pPr>
              <w:jc w:val="center"/>
              <w:rPr>
                <w:rFonts w:eastAsia="等线" w:cs="等线"/>
                <w:b/>
                <w:color w:val="000000"/>
                <w:sz w:val="21"/>
                <w:szCs w:val="21"/>
              </w:rPr>
            </w:pPr>
            <w:r>
              <w:rPr>
                <w:rFonts w:hint="eastAsia" w:eastAsia="等线" w:cs="等线"/>
                <w:color w:val="000000"/>
                <w:sz w:val="21"/>
                <w:szCs w:val="21"/>
              </w:rPr>
              <w:t>5.4 验证评价</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762DECF3">
            <w:pPr>
              <w:ind w:firstLine="420" w:firstLineChars="200"/>
              <w:rPr>
                <w:rFonts w:eastAsia="等线" w:cs="等线"/>
                <w:color w:val="000000"/>
                <w:sz w:val="21"/>
                <w:szCs w:val="21"/>
              </w:rPr>
            </w:pPr>
            <w:r>
              <w:rPr>
                <w:rFonts w:hint="eastAsia" w:eastAsia="宋体"/>
                <w:color w:val="000000"/>
                <w:sz w:val="21"/>
                <w:szCs w:val="21"/>
                <w:highlight w:val="none"/>
                <w:lang w:val="en-US" w:eastAsia="zh-CN"/>
              </w:rPr>
              <w:t>验证结果表明，标准中对漏磁检测机器人相关功能、性能的规定，能够全面覆盖机器人自主漏磁检测的全流程需求，可有效保障机器人自主漏磁检测工作的可靠性、稳定性和规范性，确保检测方法的有效执行，为漏磁检测机器人的规范化应用提供了坚实的数据支撑和技术保障。</w:t>
            </w:r>
          </w:p>
        </w:tc>
      </w:tr>
      <w:tr w14:paraId="1D1F0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2347" w:hRule="atLeast"/>
        </w:trPr>
        <w:tc>
          <w:tcPr>
            <w:tcW w:w="1688" w:type="dxa"/>
            <w:tcBorders>
              <w:top w:val="single" w:color="auto" w:sz="6" w:space="0"/>
              <w:left w:val="single" w:color="auto" w:sz="4" w:space="0"/>
              <w:bottom w:val="single" w:color="auto" w:sz="6" w:space="0"/>
              <w:right w:val="single" w:color="auto" w:sz="4" w:space="0"/>
            </w:tcBorders>
            <w:vAlign w:val="center"/>
          </w:tcPr>
          <w:p w14:paraId="17BA0731">
            <w:pPr>
              <w:jc w:val="center"/>
              <w:rPr>
                <w:rFonts w:eastAsia="等线" w:cs="等线"/>
                <w:b/>
                <w:color w:val="000000"/>
                <w:sz w:val="21"/>
                <w:szCs w:val="21"/>
              </w:rPr>
            </w:pPr>
            <w:r>
              <w:rPr>
                <w:rFonts w:hint="eastAsia" w:eastAsia="等线" w:cs="等线"/>
                <w:color w:val="000000"/>
                <w:sz w:val="21"/>
                <w:szCs w:val="21"/>
              </w:rPr>
              <w:t>5.5 其他应说明的情况</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56B29C32">
            <w:pPr>
              <w:ind w:firstLine="420" w:firstLineChars="200"/>
              <w:rPr>
                <w:rFonts w:eastAsia="宋体"/>
                <w:color w:val="000000"/>
                <w:sz w:val="21"/>
                <w:szCs w:val="21"/>
              </w:rPr>
            </w:pPr>
            <w:r>
              <w:rPr>
                <w:rFonts w:eastAsia="宋体"/>
                <w:color w:val="000000"/>
                <w:sz w:val="21"/>
                <w:szCs w:val="21"/>
              </w:rPr>
              <w:t>无</w:t>
            </w:r>
          </w:p>
        </w:tc>
      </w:tr>
      <w:tr w14:paraId="42236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414"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4AB2A2FB">
            <w:pPr>
              <w:jc w:val="left"/>
              <w:rPr>
                <w:rFonts w:eastAsia="等线" w:cs="等线"/>
                <w:color w:val="000000"/>
                <w:sz w:val="21"/>
                <w:szCs w:val="21"/>
              </w:rPr>
            </w:pPr>
            <w:r>
              <w:rPr>
                <w:rFonts w:hint="eastAsia" w:eastAsia="等线" w:cs="等线"/>
                <w:b/>
                <w:color w:val="000000"/>
                <w:sz w:val="21"/>
                <w:szCs w:val="21"/>
              </w:rPr>
              <w:t>6、附加说明（可选）</w:t>
            </w:r>
          </w:p>
        </w:tc>
      </w:tr>
      <w:tr w14:paraId="3F4CC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351" w:hRule="atLeast"/>
        </w:trPr>
        <w:tc>
          <w:tcPr>
            <w:tcW w:w="1688" w:type="dxa"/>
            <w:tcBorders>
              <w:top w:val="single" w:color="auto" w:sz="6" w:space="0"/>
              <w:left w:val="single" w:color="auto" w:sz="4" w:space="0"/>
              <w:bottom w:val="single" w:color="auto" w:sz="6" w:space="0"/>
              <w:right w:val="single" w:color="auto" w:sz="4" w:space="0"/>
            </w:tcBorders>
            <w:vAlign w:val="center"/>
          </w:tcPr>
          <w:p w14:paraId="629A05D0">
            <w:pPr>
              <w:jc w:val="center"/>
              <w:rPr>
                <w:rFonts w:eastAsia="等线" w:cs="等线"/>
                <w:color w:val="000000"/>
                <w:sz w:val="21"/>
                <w:szCs w:val="21"/>
              </w:rPr>
            </w:pPr>
            <w:r>
              <w:rPr>
                <w:rFonts w:hint="eastAsia" w:eastAsia="等线" w:cs="等线"/>
                <w:color w:val="000000"/>
                <w:sz w:val="21"/>
                <w:szCs w:val="21"/>
              </w:rPr>
              <w:t>6.1 宣贯标准的</w:t>
            </w:r>
          </w:p>
          <w:p w14:paraId="49DDDE58">
            <w:pPr>
              <w:jc w:val="center"/>
              <w:rPr>
                <w:rFonts w:eastAsia="等线" w:cs="等线"/>
                <w:color w:val="000000"/>
                <w:sz w:val="21"/>
                <w:szCs w:val="21"/>
              </w:rPr>
            </w:pPr>
            <w:r>
              <w:rPr>
                <w:rFonts w:hint="eastAsia" w:eastAsia="等线" w:cs="等线"/>
                <w:color w:val="000000"/>
                <w:sz w:val="21"/>
                <w:szCs w:val="21"/>
              </w:rPr>
              <w:t>建议</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5FA7B161">
            <w:pPr>
              <w:ind w:firstLine="420" w:firstLineChars="200"/>
              <w:rPr>
                <w:rFonts w:eastAsia="等线" w:cs="等线"/>
                <w:color w:val="000000"/>
                <w:sz w:val="21"/>
                <w:szCs w:val="21"/>
              </w:rPr>
            </w:pPr>
            <w:r>
              <w:rPr>
                <w:rFonts w:eastAsia="宋体"/>
                <w:color w:val="000000"/>
                <w:sz w:val="21"/>
                <w:szCs w:val="21"/>
              </w:rPr>
              <w:t>建议由</w:t>
            </w:r>
            <w:r>
              <w:rPr>
                <w:rFonts w:hint="eastAsia" w:eastAsia="宋体"/>
                <w:color w:val="000000"/>
                <w:sz w:val="21"/>
                <w:szCs w:val="21"/>
                <w:lang w:val="en-US" w:eastAsia="zh-CN"/>
              </w:rPr>
              <w:t>广东省特种设备检测研究院顺德检测院</w:t>
            </w:r>
            <w:r>
              <w:rPr>
                <w:rFonts w:eastAsia="宋体"/>
                <w:color w:val="000000"/>
                <w:sz w:val="21"/>
                <w:szCs w:val="21"/>
              </w:rPr>
              <w:t>组织向</w:t>
            </w:r>
            <w:r>
              <w:rPr>
                <w:rFonts w:hint="eastAsia" w:eastAsia="宋体"/>
                <w:color w:val="000000"/>
                <w:sz w:val="21"/>
                <w:szCs w:val="21"/>
                <w:lang w:val="en-US" w:eastAsia="zh-CN"/>
              </w:rPr>
              <w:t>漏磁检测机器人制造单位、常压储罐</w:t>
            </w:r>
            <w:r>
              <w:rPr>
                <w:rFonts w:eastAsia="宋体"/>
                <w:color w:val="000000"/>
                <w:sz w:val="21"/>
                <w:szCs w:val="21"/>
              </w:rPr>
              <w:t>使用单位以及相关</w:t>
            </w:r>
            <w:r>
              <w:rPr>
                <w:rFonts w:hint="eastAsia" w:eastAsia="宋体"/>
                <w:color w:val="000000"/>
                <w:sz w:val="21"/>
                <w:szCs w:val="21"/>
                <w:lang w:val="en-US" w:eastAsia="zh-CN"/>
              </w:rPr>
              <w:t>检验</w:t>
            </w:r>
            <w:r>
              <w:rPr>
                <w:rFonts w:eastAsia="宋体"/>
                <w:color w:val="000000"/>
                <w:sz w:val="21"/>
                <w:szCs w:val="21"/>
              </w:rPr>
              <w:t>检测单位等单位宣贯本标准。</w:t>
            </w:r>
          </w:p>
        </w:tc>
      </w:tr>
      <w:tr w14:paraId="0488C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321" w:hRule="atLeast"/>
        </w:trPr>
        <w:tc>
          <w:tcPr>
            <w:tcW w:w="1688" w:type="dxa"/>
            <w:tcBorders>
              <w:top w:val="single" w:color="auto" w:sz="6" w:space="0"/>
              <w:left w:val="single" w:color="auto" w:sz="4" w:space="0"/>
              <w:bottom w:val="single" w:color="auto" w:sz="6" w:space="0"/>
              <w:right w:val="single" w:color="auto" w:sz="4" w:space="0"/>
            </w:tcBorders>
            <w:vAlign w:val="center"/>
          </w:tcPr>
          <w:p w14:paraId="7F81191A">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16ACF6E7">
            <w:pPr>
              <w:ind w:firstLine="420" w:firstLineChars="200"/>
              <w:rPr>
                <w:rFonts w:eastAsia="宋体"/>
                <w:color w:val="000000"/>
                <w:sz w:val="21"/>
                <w:szCs w:val="21"/>
              </w:rPr>
            </w:pPr>
            <w:r>
              <w:rPr>
                <w:rFonts w:eastAsia="宋体"/>
                <w:color w:val="000000"/>
                <w:sz w:val="21"/>
                <w:szCs w:val="21"/>
              </w:rPr>
              <w:t>无</w:t>
            </w:r>
          </w:p>
        </w:tc>
      </w:tr>
      <w:tr w14:paraId="2C07F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328" w:hRule="atLeast"/>
        </w:trPr>
        <w:tc>
          <w:tcPr>
            <w:tcW w:w="1688" w:type="dxa"/>
            <w:tcBorders>
              <w:top w:val="single" w:color="auto" w:sz="6" w:space="0"/>
              <w:left w:val="single" w:color="auto" w:sz="4" w:space="0"/>
              <w:bottom w:val="single" w:color="auto" w:sz="6" w:space="0"/>
              <w:right w:val="single" w:color="auto" w:sz="4" w:space="0"/>
            </w:tcBorders>
            <w:vAlign w:val="center"/>
          </w:tcPr>
          <w:p w14:paraId="0ECE188D">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13909099">
            <w:pPr>
              <w:ind w:firstLine="420" w:firstLineChars="200"/>
              <w:rPr>
                <w:rFonts w:eastAsia="等线" w:cs="等线"/>
                <w:color w:val="000000"/>
                <w:sz w:val="21"/>
                <w:szCs w:val="21"/>
              </w:rPr>
            </w:pPr>
            <w:r>
              <w:rPr>
                <w:rFonts w:eastAsia="宋体"/>
                <w:sz w:val="21"/>
                <w:szCs w:val="21"/>
              </w:rPr>
              <w:t>本项目编制的标准是推荐性标准，与其他专业领域标准不冲突，其他专业领域需要时可引用本标准。</w:t>
            </w:r>
          </w:p>
        </w:tc>
      </w:tr>
      <w:tr w14:paraId="527EF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291" w:hRule="atLeast"/>
        </w:trPr>
        <w:tc>
          <w:tcPr>
            <w:tcW w:w="1688" w:type="dxa"/>
            <w:tcBorders>
              <w:top w:val="single" w:color="auto" w:sz="6" w:space="0"/>
              <w:left w:val="single" w:color="auto" w:sz="4" w:space="0"/>
              <w:bottom w:val="single" w:color="auto" w:sz="6" w:space="0"/>
              <w:right w:val="single" w:color="auto" w:sz="4" w:space="0"/>
            </w:tcBorders>
            <w:vAlign w:val="center"/>
          </w:tcPr>
          <w:p w14:paraId="490DAEBB">
            <w:pPr>
              <w:jc w:val="center"/>
              <w:rPr>
                <w:rFonts w:eastAsia="等线" w:cs="等线"/>
                <w:color w:val="000000"/>
                <w:sz w:val="21"/>
                <w:szCs w:val="21"/>
              </w:rPr>
            </w:pPr>
            <w:r>
              <w:rPr>
                <w:rFonts w:hint="eastAsia" w:eastAsia="等线" w:cs="等线"/>
                <w:color w:val="000000"/>
                <w:sz w:val="21"/>
                <w:szCs w:val="21"/>
              </w:rPr>
              <w:t>6.4 其他需要说明的情况</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2CF51DA4">
            <w:pPr>
              <w:ind w:firstLine="420" w:firstLineChars="200"/>
              <w:rPr>
                <w:rFonts w:eastAsia="等线" w:cs="等线"/>
                <w:color w:val="000000"/>
                <w:sz w:val="21"/>
                <w:szCs w:val="21"/>
              </w:rPr>
            </w:pPr>
            <w:r>
              <w:rPr>
                <w:rFonts w:eastAsia="宋体"/>
                <w:color w:val="000000"/>
                <w:sz w:val="21"/>
                <w:szCs w:val="21"/>
              </w:rPr>
              <w:t>无</w:t>
            </w:r>
          </w:p>
        </w:tc>
      </w:tr>
      <w:tr w14:paraId="53E61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083" w:hRule="atLeast"/>
        </w:trPr>
        <w:tc>
          <w:tcPr>
            <w:tcW w:w="1688" w:type="dxa"/>
            <w:tcBorders>
              <w:top w:val="single" w:color="auto" w:sz="6" w:space="0"/>
              <w:left w:val="single" w:color="auto" w:sz="4" w:space="0"/>
              <w:bottom w:val="single" w:color="auto" w:sz="6" w:space="0"/>
              <w:right w:val="single" w:color="auto" w:sz="4" w:space="0"/>
            </w:tcBorders>
            <w:vAlign w:val="center"/>
          </w:tcPr>
          <w:p w14:paraId="6AF141DA">
            <w:pPr>
              <w:jc w:val="center"/>
              <w:rPr>
                <w:rFonts w:eastAsia="等线" w:cs="等线"/>
                <w:color w:val="000000"/>
                <w:sz w:val="21"/>
                <w:szCs w:val="21"/>
              </w:rPr>
            </w:pPr>
            <w:r>
              <w:rPr>
                <w:rFonts w:hint="eastAsia" w:eastAsia="等线" w:cs="等线"/>
                <w:color w:val="000000"/>
                <w:sz w:val="21"/>
                <w:szCs w:val="21"/>
              </w:rPr>
              <w:t>6.5 参考文献</w:t>
            </w:r>
          </w:p>
        </w:tc>
        <w:tc>
          <w:tcPr>
            <w:tcW w:w="7331" w:type="dxa"/>
            <w:gridSpan w:val="10"/>
            <w:tcBorders>
              <w:top w:val="single" w:color="auto" w:sz="6" w:space="0"/>
              <w:left w:val="single" w:color="auto" w:sz="4" w:space="0"/>
              <w:bottom w:val="single" w:color="auto" w:sz="6" w:space="0"/>
              <w:right w:val="single" w:color="auto" w:sz="4" w:space="0"/>
            </w:tcBorders>
            <w:vAlign w:val="center"/>
          </w:tcPr>
          <w:p w14:paraId="44783DC2">
            <w:pPr>
              <w:ind w:firstLine="420" w:firstLineChars="200"/>
              <w:rPr>
                <w:rFonts w:eastAsia="等线" w:cs="等线"/>
                <w:color w:val="000000"/>
                <w:sz w:val="21"/>
                <w:szCs w:val="21"/>
              </w:rPr>
            </w:pPr>
            <w:r>
              <w:rPr>
                <w:rFonts w:eastAsia="宋体"/>
                <w:color w:val="000000"/>
                <w:sz w:val="21"/>
                <w:szCs w:val="21"/>
              </w:rPr>
              <w:t>无</w:t>
            </w:r>
            <w:r>
              <w:rPr>
                <w:rFonts w:hint="eastAsia" w:eastAsia="宋体"/>
                <w:color w:val="000000"/>
                <w:sz w:val="21"/>
                <w:szCs w:val="21"/>
              </w:rPr>
              <w:t xml:space="preserve">  </w:t>
            </w:r>
          </w:p>
        </w:tc>
      </w:tr>
      <w:tr w14:paraId="47C49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745" w:hRule="atLeast"/>
        </w:trPr>
        <w:tc>
          <w:tcPr>
            <w:tcW w:w="1688" w:type="dxa"/>
            <w:tcBorders>
              <w:top w:val="single" w:color="auto" w:sz="6" w:space="0"/>
              <w:left w:val="single" w:color="auto" w:sz="4" w:space="0"/>
              <w:bottom w:val="single" w:color="auto" w:sz="6" w:space="0"/>
              <w:right w:val="single" w:color="auto" w:sz="4" w:space="0"/>
            </w:tcBorders>
            <w:vAlign w:val="center"/>
          </w:tcPr>
          <w:p w14:paraId="3CC6D65B">
            <w:pPr>
              <w:jc w:val="center"/>
              <w:rPr>
                <w:rFonts w:eastAsia="等线" w:cs="等线"/>
                <w:color w:val="000000"/>
                <w:sz w:val="21"/>
                <w:szCs w:val="21"/>
              </w:rPr>
            </w:pPr>
            <w:r>
              <w:rPr>
                <w:rFonts w:hint="eastAsia" w:eastAsia="等线" w:cs="等线"/>
                <w:color w:val="000000"/>
                <w:sz w:val="21"/>
                <w:szCs w:val="21"/>
              </w:rPr>
              <w:t>联系人</w:t>
            </w:r>
          </w:p>
        </w:tc>
        <w:tc>
          <w:tcPr>
            <w:tcW w:w="1316" w:type="dxa"/>
            <w:tcBorders>
              <w:top w:val="single" w:color="auto" w:sz="6" w:space="0"/>
              <w:left w:val="single" w:color="auto" w:sz="4" w:space="0"/>
              <w:bottom w:val="single" w:color="auto" w:sz="6" w:space="0"/>
              <w:right w:val="single" w:color="auto" w:sz="4" w:space="0"/>
            </w:tcBorders>
            <w:vAlign w:val="center"/>
          </w:tcPr>
          <w:p w14:paraId="331A42B1">
            <w:pPr>
              <w:jc w:val="center"/>
              <w:rPr>
                <w:rFonts w:hint="eastAsia" w:eastAsia="等线" w:cs="等线"/>
                <w:color w:val="000000"/>
                <w:sz w:val="21"/>
                <w:szCs w:val="21"/>
                <w:lang w:eastAsia="zh-CN"/>
              </w:rPr>
            </w:pPr>
            <w:r>
              <w:rPr>
                <w:rFonts w:hint="eastAsia" w:eastAsia="等线" w:cs="等线"/>
                <w:color w:val="000000"/>
                <w:sz w:val="21"/>
                <w:szCs w:val="21"/>
                <w:lang w:val="en-US" w:eastAsia="zh-CN"/>
              </w:rPr>
              <w:t>张炳雷</w:t>
            </w:r>
          </w:p>
        </w:tc>
        <w:tc>
          <w:tcPr>
            <w:tcW w:w="1201" w:type="dxa"/>
            <w:gridSpan w:val="2"/>
            <w:tcBorders>
              <w:top w:val="single" w:color="auto" w:sz="6" w:space="0"/>
              <w:left w:val="single" w:color="auto" w:sz="4" w:space="0"/>
              <w:bottom w:val="single" w:color="auto" w:sz="6" w:space="0"/>
              <w:right w:val="single" w:color="auto" w:sz="4" w:space="0"/>
            </w:tcBorders>
            <w:vAlign w:val="center"/>
          </w:tcPr>
          <w:p w14:paraId="117D4DC8">
            <w:pPr>
              <w:jc w:val="center"/>
              <w:rPr>
                <w:rFonts w:eastAsia="等线" w:cs="等线"/>
                <w:color w:val="000000"/>
                <w:sz w:val="21"/>
                <w:szCs w:val="21"/>
              </w:rPr>
            </w:pPr>
            <w:r>
              <w:rPr>
                <w:rFonts w:hint="eastAsia" w:eastAsia="等线" w:cs="等线"/>
                <w:color w:val="000000"/>
                <w:sz w:val="21"/>
                <w:szCs w:val="21"/>
              </w:rPr>
              <w:t>联系电话</w:t>
            </w:r>
          </w:p>
        </w:tc>
        <w:tc>
          <w:tcPr>
            <w:tcW w:w="1383" w:type="dxa"/>
            <w:gridSpan w:val="3"/>
            <w:tcBorders>
              <w:top w:val="single" w:color="auto" w:sz="6" w:space="0"/>
              <w:left w:val="single" w:color="auto" w:sz="4" w:space="0"/>
              <w:bottom w:val="single" w:color="auto" w:sz="6" w:space="0"/>
              <w:right w:val="single" w:color="auto" w:sz="4" w:space="0"/>
            </w:tcBorders>
            <w:vAlign w:val="center"/>
          </w:tcPr>
          <w:p w14:paraId="0F1D9E18">
            <w:pPr>
              <w:jc w:val="center"/>
              <w:rPr>
                <w:rFonts w:hint="default" w:eastAsia="等线" w:cs="等线"/>
                <w:color w:val="000000"/>
                <w:sz w:val="21"/>
                <w:szCs w:val="21"/>
                <w:lang w:val="en-US" w:eastAsia="zh-CN"/>
              </w:rPr>
            </w:pPr>
            <w:r>
              <w:rPr>
                <w:rFonts w:hint="eastAsia" w:eastAsia="等线" w:cs="等线"/>
                <w:color w:val="000000"/>
                <w:sz w:val="21"/>
                <w:szCs w:val="21"/>
                <w:lang w:val="en-US" w:eastAsia="zh-CN"/>
              </w:rPr>
              <w:t>13823456813</w:t>
            </w:r>
          </w:p>
        </w:tc>
        <w:tc>
          <w:tcPr>
            <w:tcW w:w="1027" w:type="dxa"/>
            <w:gridSpan w:val="2"/>
            <w:tcBorders>
              <w:top w:val="single" w:color="auto" w:sz="6" w:space="0"/>
              <w:left w:val="single" w:color="auto" w:sz="4" w:space="0"/>
              <w:bottom w:val="single" w:color="auto" w:sz="6" w:space="0"/>
              <w:right w:val="single" w:color="auto" w:sz="4" w:space="0"/>
            </w:tcBorders>
            <w:vAlign w:val="center"/>
          </w:tcPr>
          <w:p w14:paraId="7E46A72D">
            <w:pPr>
              <w:jc w:val="center"/>
              <w:rPr>
                <w:rFonts w:eastAsia="等线" w:cs="等线"/>
                <w:color w:val="000000"/>
                <w:sz w:val="21"/>
                <w:szCs w:val="21"/>
              </w:rPr>
            </w:pPr>
            <w:r>
              <w:rPr>
                <w:rFonts w:hint="eastAsia" w:eastAsia="等线" w:cs="等线"/>
                <w:color w:val="000000"/>
                <w:sz w:val="21"/>
                <w:szCs w:val="21"/>
              </w:rPr>
              <w:t>电子邮箱</w:t>
            </w:r>
          </w:p>
        </w:tc>
        <w:tc>
          <w:tcPr>
            <w:tcW w:w="2404" w:type="dxa"/>
            <w:gridSpan w:val="2"/>
            <w:tcBorders>
              <w:top w:val="single" w:color="auto" w:sz="6" w:space="0"/>
              <w:left w:val="single" w:color="auto" w:sz="4" w:space="0"/>
              <w:bottom w:val="single" w:color="auto" w:sz="6" w:space="0"/>
              <w:right w:val="single" w:color="auto" w:sz="4" w:space="0"/>
            </w:tcBorders>
            <w:vAlign w:val="center"/>
          </w:tcPr>
          <w:p w14:paraId="77886CD8">
            <w:pPr>
              <w:jc w:val="center"/>
              <w:rPr>
                <w:rFonts w:eastAsia="等线" w:cs="等线"/>
                <w:color w:val="000000"/>
                <w:sz w:val="21"/>
                <w:szCs w:val="21"/>
              </w:rPr>
            </w:pPr>
            <w:r>
              <w:rPr>
                <w:rFonts w:hint="eastAsia" w:eastAsia="等线" w:cs="等线"/>
                <w:color w:val="000000"/>
                <w:sz w:val="21"/>
                <w:szCs w:val="21"/>
                <w:lang w:val="en-US" w:eastAsia="zh-CN"/>
              </w:rPr>
              <w:t>13823456813</w:t>
            </w:r>
            <w:r>
              <w:rPr>
                <w:rFonts w:eastAsia="等线" w:cs="等线"/>
                <w:color w:val="000000"/>
                <w:sz w:val="21"/>
                <w:szCs w:val="21"/>
              </w:rPr>
              <w:t>@1</w:t>
            </w:r>
            <w:r>
              <w:rPr>
                <w:rFonts w:hint="eastAsia" w:eastAsia="等线" w:cs="等线"/>
                <w:color w:val="000000"/>
                <w:sz w:val="21"/>
                <w:szCs w:val="21"/>
                <w:lang w:val="en-US" w:eastAsia="zh-CN"/>
              </w:rPr>
              <w:t>39</w:t>
            </w:r>
            <w:r>
              <w:rPr>
                <w:rFonts w:eastAsia="等线" w:cs="等线"/>
                <w:color w:val="000000"/>
                <w:sz w:val="21"/>
                <w:szCs w:val="21"/>
              </w:rPr>
              <w:t>.com</w:t>
            </w:r>
          </w:p>
        </w:tc>
      </w:tr>
      <w:tr w14:paraId="2F684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trHeight w:val="1122" w:hRule="atLeast"/>
        </w:trPr>
        <w:tc>
          <w:tcPr>
            <w:tcW w:w="9019" w:type="dxa"/>
            <w:gridSpan w:val="11"/>
            <w:tcBorders>
              <w:top w:val="single" w:color="auto" w:sz="6" w:space="0"/>
              <w:left w:val="single" w:color="auto" w:sz="4" w:space="0"/>
              <w:bottom w:val="single" w:color="auto" w:sz="6" w:space="0"/>
              <w:right w:val="single" w:color="auto" w:sz="4" w:space="0"/>
            </w:tcBorders>
            <w:vAlign w:val="center"/>
          </w:tcPr>
          <w:p w14:paraId="5B2C98B7">
            <w:pPr>
              <w:adjustRightInd w:val="0"/>
              <w:spacing w:before="60" w:line="360" w:lineRule="auto"/>
              <w:ind w:firstLine="441"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14:paraId="58EB8609">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14:paraId="5E81F424">
            <w:pPr>
              <w:ind w:firstLine="420" w:firstLineChars="200"/>
              <w:rPr>
                <w:rFonts w:eastAsia="等线" w:cs="等线"/>
                <w:color w:val="000000"/>
                <w:sz w:val="21"/>
                <w:szCs w:val="21"/>
              </w:rPr>
            </w:pPr>
          </w:p>
          <w:p w14:paraId="3A7FDFFF">
            <w:pPr>
              <w:ind w:firstLine="420" w:firstLineChars="200"/>
              <w:rPr>
                <w:rFonts w:eastAsia="等线" w:cs="等线"/>
                <w:color w:val="000000"/>
                <w:sz w:val="21"/>
                <w:szCs w:val="21"/>
              </w:rPr>
            </w:pPr>
          </w:p>
          <w:p w14:paraId="56C10816">
            <w:pPr>
              <w:ind w:firstLine="420" w:firstLineChars="200"/>
              <w:rPr>
                <w:rFonts w:eastAsia="等线" w:cs="等线"/>
                <w:color w:val="000000"/>
                <w:sz w:val="21"/>
                <w:szCs w:val="21"/>
              </w:rPr>
            </w:pPr>
          </w:p>
          <w:p w14:paraId="466014A6">
            <w:pPr>
              <w:ind w:firstLine="420" w:firstLineChars="200"/>
              <w:rPr>
                <w:rFonts w:eastAsia="等线" w:cs="等线"/>
                <w:color w:val="000000"/>
                <w:sz w:val="21"/>
                <w:szCs w:val="21"/>
              </w:rPr>
            </w:pPr>
          </w:p>
          <w:p w14:paraId="6F050A48">
            <w:pPr>
              <w:ind w:firstLine="420" w:firstLineChars="200"/>
              <w:jc w:val="right"/>
              <w:rPr>
                <w:rFonts w:eastAsia="等线" w:cs="等线"/>
                <w:color w:val="000000"/>
                <w:sz w:val="21"/>
                <w:szCs w:val="21"/>
              </w:rPr>
            </w:pPr>
            <w:r>
              <w:rPr>
                <w:rFonts w:hint="eastAsia" w:eastAsia="等线" w:cs="等线"/>
                <w:color w:val="000000"/>
                <w:sz w:val="21"/>
                <w:szCs w:val="21"/>
              </w:rPr>
              <w:t>编写日期：</w:t>
            </w:r>
            <w:r>
              <w:rPr>
                <w:rFonts w:hint="eastAsia" w:eastAsia="宋体"/>
                <w:color w:val="000000"/>
                <w:sz w:val="21"/>
                <w:szCs w:val="21"/>
              </w:rPr>
              <w:t>202</w:t>
            </w:r>
            <w:r>
              <w:rPr>
                <w:rFonts w:hint="eastAsia" w:eastAsia="宋体"/>
                <w:color w:val="000000"/>
                <w:sz w:val="21"/>
                <w:szCs w:val="21"/>
                <w:lang w:val="en-US" w:eastAsia="zh-CN"/>
              </w:rPr>
              <w:t>6</w:t>
            </w:r>
            <w:r>
              <w:rPr>
                <w:rFonts w:eastAsia="宋体"/>
                <w:color w:val="000000"/>
                <w:sz w:val="21"/>
                <w:szCs w:val="21"/>
              </w:rPr>
              <w:t>年</w:t>
            </w:r>
            <w:r>
              <w:rPr>
                <w:rFonts w:hint="eastAsia" w:eastAsia="宋体"/>
                <w:color w:val="000000"/>
                <w:sz w:val="21"/>
                <w:szCs w:val="21"/>
                <w:lang w:val="en-US" w:eastAsia="zh-CN"/>
              </w:rPr>
              <w:t>7</w:t>
            </w:r>
            <w:r>
              <w:rPr>
                <w:rFonts w:eastAsia="宋体"/>
                <w:color w:val="000000"/>
                <w:sz w:val="21"/>
                <w:szCs w:val="21"/>
              </w:rPr>
              <w:t>月</w:t>
            </w:r>
            <w:r>
              <w:rPr>
                <w:rFonts w:hint="eastAsia" w:eastAsia="宋体"/>
                <w:color w:val="000000"/>
                <w:sz w:val="21"/>
                <w:szCs w:val="21"/>
                <w:lang w:val="en-US" w:eastAsia="zh-CN"/>
              </w:rPr>
              <w:t>19</w:t>
            </w:r>
            <w:r>
              <w:rPr>
                <w:rFonts w:hint="eastAsia" w:eastAsia="等线" w:cs="等线"/>
                <w:color w:val="000000"/>
                <w:sz w:val="21"/>
                <w:szCs w:val="21"/>
              </w:rPr>
              <w:t>日</w:t>
            </w:r>
          </w:p>
        </w:tc>
      </w:tr>
    </w:tbl>
    <w:p w14:paraId="4F8B6B3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仿宋简体">
    <w:panose1 w:val="02000000000000000000"/>
    <w:charset w:val="86"/>
    <w:family w:val="script"/>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kMzVhMGJiMTFmMmE5MWU4ZmZjZjBmMDYyZjk5YmQifQ=="/>
  </w:docVars>
  <w:rsids>
    <w:rsidRoot w:val="008838EF"/>
    <w:rsid w:val="00063762"/>
    <w:rsid w:val="000726E0"/>
    <w:rsid w:val="00082309"/>
    <w:rsid w:val="000D29B6"/>
    <w:rsid w:val="000D44D1"/>
    <w:rsid w:val="00133B49"/>
    <w:rsid w:val="001B5397"/>
    <w:rsid w:val="00220A61"/>
    <w:rsid w:val="0025204F"/>
    <w:rsid w:val="0028118B"/>
    <w:rsid w:val="002D6349"/>
    <w:rsid w:val="002F05B3"/>
    <w:rsid w:val="00301AF9"/>
    <w:rsid w:val="00356751"/>
    <w:rsid w:val="003E583D"/>
    <w:rsid w:val="0048777B"/>
    <w:rsid w:val="004E6BA9"/>
    <w:rsid w:val="005451BD"/>
    <w:rsid w:val="005B6CA7"/>
    <w:rsid w:val="005C5D4C"/>
    <w:rsid w:val="005E1E0E"/>
    <w:rsid w:val="005F06DB"/>
    <w:rsid w:val="006154DA"/>
    <w:rsid w:val="00633CF6"/>
    <w:rsid w:val="006500DE"/>
    <w:rsid w:val="00693600"/>
    <w:rsid w:val="006B75CB"/>
    <w:rsid w:val="00700A34"/>
    <w:rsid w:val="00717BBE"/>
    <w:rsid w:val="00721596"/>
    <w:rsid w:val="00730146"/>
    <w:rsid w:val="00734272"/>
    <w:rsid w:val="007651E6"/>
    <w:rsid w:val="007710F8"/>
    <w:rsid w:val="007B316F"/>
    <w:rsid w:val="007C22E4"/>
    <w:rsid w:val="007D1C5D"/>
    <w:rsid w:val="007D34A8"/>
    <w:rsid w:val="00810C6B"/>
    <w:rsid w:val="00843178"/>
    <w:rsid w:val="008838EF"/>
    <w:rsid w:val="008F7A09"/>
    <w:rsid w:val="00916762"/>
    <w:rsid w:val="009270CD"/>
    <w:rsid w:val="00971659"/>
    <w:rsid w:val="00987375"/>
    <w:rsid w:val="009B0E6E"/>
    <w:rsid w:val="009C2630"/>
    <w:rsid w:val="009F2337"/>
    <w:rsid w:val="00A326EE"/>
    <w:rsid w:val="00A466E6"/>
    <w:rsid w:val="00A71DF4"/>
    <w:rsid w:val="00A75C7E"/>
    <w:rsid w:val="00A80082"/>
    <w:rsid w:val="00AF2DA7"/>
    <w:rsid w:val="00AF7DBB"/>
    <w:rsid w:val="00B25401"/>
    <w:rsid w:val="00BA1225"/>
    <w:rsid w:val="00BA1F71"/>
    <w:rsid w:val="00BA6903"/>
    <w:rsid w:val="00BD1E7C"/>
    <w:rsid w:val="00C474A6"/>
    <w:rsid w:val="00C635DA"/>
    <w:rsid w:val="00C857AB"/>
    <w:rsid w:val="00C93E36"/>
    <w:rsid w:val="00CD4C72"/>
    <w:rsid w:val="00D21136"/>
    <w:rsid w:val="00D556C9"/>
    <w:rsid w:val="00D66344"/>
    <w:rsid w:val="00D849D1"/>
    <w:rsid w:val="00DC07DA"/>
    <w:rsid w:val="00E966B4"/>
    <w:rsid w:val="00EB1AF4"/>
    <w:rsid w:val="00F65739"/>
    <w:rsid w:val="01C335AB"/>
    <w:rsid w:val="02585560"/>
    <w:rsid w:val="02881F89"/>
    <w:rsid w:val="0341345C"/>
    <w:rsid w:val="036B12C9"/>
    <w:rsid w:val="040A41B2"/>
    <w:rsid w:val="04AA094F"/>
    <w:rsid w:val="051F6C50"/>
    <w:rsid w:val="054F1AD0"/>
    <w:rsid w:val="05E54EF8"/>
    <w:rsid w:val="063A5AF6"/>
    <w:rsid w:val="0663488F"/>
    <w:rsid w:val="06AE42ED"/>
    <w:rsid w:val="073A045E"/>
    <w:rsid w:val="0848014F"/>
    <w:rsid w:val="08752788"/>
    <w:rsid w:val="08DE79A8"/>
    <w:rsid w:val="08E52245"/>
    <w:rsid w:val="08FB5D99"/>
    <w:rsid w:val="0A6B6AF9"/>
    <w:rsid w:val="0AC92B71"/>
    <w:rsid w:val="0AE57443"/>
    <w:rsid w:val="0B0774C2"/>
    <w:rsid w:val="0B31206F"/>
    <w:rsid w:val="0B3B060F"/>
    <w:rsid w:val="0BCC2F3B"/>
    <w:rsid w:val="0C9A5D95"/>
    <w:rsid w:val="0CAF784C"/>
    <w:rsid w:val="0EE0531B"/>
    <w:rsid w:val="0F0B0907"/>
    <w:rsid w:val="0FE47A2D"/>
    <w:rsid w:val="105E0DF3"/>
    <w:rsid w:val="10690FC6"/>
    <w:rsid w:val="10B44943"/>
    <w:rsid w:val="11657A0B"/>
    <w:rsid w:val="118770D0"/>
    <w:rsid w:val="118D45D8"/>
    <w:rsid w:val="11E533D5"/>
    <w:rsid w:val="1236452E"/>
    <w:rsid w:val="13925C08"/>
    <w:rsid w:val="13A846F6"/>
    <w:rsid w:val="13B13BC4"/>
    <w:rsid w:val="13E90A52"/>
    <w:rsid w:val="147345EB"/>
    <w:rsid w:val="147351B1"/>
    <w:rsid w:val="14D705C7"/>
    <w:rsid w:val="15852EC9"/>
    <w:rsid w:val="159C5C1B"/>
    <w:rsid w:val="15B22199"/>
    <w:rsid w:val="16AE1823"/>
    <w:rsid w:val="16B602BA"/>
    <w:rsid w:val="16C80B27"/>
    <w:rsid w:val="17335699"/>
    <w:rsid w:val="177A0F4B"/>
    <w:rsid w:val="179479FE"/>
    <w:rsid w:val="18556B08"/>
    <w:rsid w:val="19292455"/>
    <w:rsid w:val="19F520F4"/>
    <w:rsid w:val="1A511666"/>
    <w:rsid w:val="1A9200D3"/>
    <w:rsid w:val="1A9C2008"/>
    <w:rsid w:val="1AB20939"/>
    <w:rsid w:val="1B4258C0"/>
    <w:rsid w:val="1B7E152F"/>
    <w:rsid w:val="1C11121D"/>
    <w:rsid w:val="1C2B239C"/>
    <w:rsid w:val="1CA4553C"/>
    <w:rsid w:val="1D0128E9"/>
    <w:rsid w:val="1DB94FAF"/>
    <w:rsid w:val="1E0D77EC"/>
    <w:rsid w:val="1E450188"/>
    <w:rsid w:val="1F603C4D"/>
    <w:rsid w:val="1F7E5BBB"/>
    <w:rsid w:val="1F920946"/>
    <w:rsid w:val="20331842"/>
    <w:rsid w:val="20CB6377"/>
    <w:rsid w:val="219875A0"/>
    <w:rsid w:val="22183308"/>
    <w:rsid w:val="22932263"/>
    <w:rsid w:val="229A7A7F"/>
    <w:rsid w:val="22B63978"/>
    <w:rsid w:val="22BE22D0"/>
    <w:rsid w:val="23364264"/>
    <w:rsid w:val="24426185"/>
    <w:rsid w:val="24D52239"/>
    <w:rsid w:val="24DC68B5"/>
    <w:rsid w:val="24EE54D6"/>
    <w:rsid w:val="25357D0A"/>
    <w:rsid w:val="25554BA6"/>
    <w:rsid w:val="265400F1"/>
    <w:rsid w:val="26AA6231"/>
    <w:rsid w:val="26B6792E"/>
    <w:rsid w:val="26C97FF4"/>
    <w:rsid w:val="27987E81"/>
    <w:rsid w:val="27C17949"/>
    <w:rsid w:val="280466BF"/>
    <w:rsid w:val="283E6823"/>
    <w:rsid w:val="28AB37C7"/>
    <w:rsid w:val="28BF53AF"/>
    <w:rsid w:val="28CF256B"/>
    <w:rsid w:val="28E43781"/>
    <w:rsid w:val="290C5535"/>
    <w:rsid w:val="29C34446"/>
    <w:rsid w:val="2A1B0153"/>
    <w:rsid w:val="2AB428E2"/>
    <w:rsid w:val="2ADC7F1C"/>
    <w:rsid w:val="2B295DEA"/>
    <w:rsid w:val="2B2D5475"/>
    <w:rsid w:val="2B407315"/>
    <w:rsid w:val="2BBF4651"/>
    <w:rsid w:val="2BD5250B"/>
    <w:rsid w:val="2C032306"/>
    <w:rsid w:val="2CDB1167"/>
    <w:rsid w:val="2D646E65"/>
    <w:rsid w:val="2DD94B94"/>
    <w:rsid w:val="2E057F04"/>
    <w:rsid w:val="2E6604E2"/>
    <w:rsid w:val="2ED82592"/>
    <w:rsid w:val="2EFF62F8"/>
    <w:rsid w:val="2FD11587"/>
    <w:rsid w:val="2FF32D43"/>
    <w:rsid w:val="2FF95846"/>
    <w:rsid w:val="315B25C9"/>
    <w:rsid w:val="317C6EE4"/>
    <w:rsid w:val="31B3658F"/>
    <w:rsid w:val="3200275B"/>
    <w:rsid w:val="32126FEE"/>
    <w:rsid w:val="321E0691"/>
    <w:rsid w:val="32542AEE"/>
    <w:rsid w:val="32784DC2"/>
    <w:rsid w:val="329E6A44"/>
    <w:rsid w:val="32BE025C"/>
    <w:rsid w:val="353D39A0"/>
    <w:rsid w:val="355B60B2"/>
    <w:rsid w:val="3642365E"/>
    <w:rsid w:val="36AD2BD6"/>
    <w:rsid w:val="37412F0C"/>
    <w:rsid w:val="374162A1"/>
    <w:rsid w:val="37A634B4"/>
    <w:rsid w:val="37C42D4A"/>
    <w:rsid w:val="37E54EE7"/>
    <w:rsid w:val="383C3C87"/>
    <w:rsid w:val="389307DD"/>
    <w:rsid w:val="38A4279C"/>
    <w:rsid w:val="38B7566A"/>
    <w:rsid w:val="39D863DB"/>
    <w:rsid w:val="3A19018A"/>
    <w:rsid w:val="3A851CE4"/>
    <w:rsid w:val="3A891042"/>
    <w:rsid w:val="3A924F84"/>
    <w:rsid w:val="3B3F0F23"/>
    <w:rsid w:val="3BD5178E"/>
    <w:rsid w:val="3BF27F68"/>
    <w:rsid w:val="3C484908"/>
    <w:rsid w:val="3D297C7E"/>
    <w:rsid w:val="3D677C08"/>
    <w:rsid w:val="3D7A5C77"/>
    <w:rsid w:val="3DCC51D1"/>
    <w:rsid w:val="3DD00BB5"/>
    <w:rsid w:val="3F24677A"/>
    <w:rsid w:val="3F85559B"/>
    <w:rsid w:val="3F9C6FA9"/>
    <w:rsid w:val="3FD431C3"/>
    <w:rsid w:val="3FEC4BA6"/>
    <w:rsid w:val="405A31EA"/>
    <w:rsid w:val="405E3AFA"/>
    <w:rsid w:val="40673E54"/>
    <w:rsid w:val="408965A5"/>
    <w:rsid w:val="40AB55DF"/>
    <w:rsid w:val="40B32349"/>
    <w:rsid w:val="40EB787C"/>
    <w:rsid w:val="40F215C9"/>
    <w:rsid w:val="41BD6756"/>
    <w:rsid w:val="41D519EF"/>
    <w:rsid w:val="423112EA"/>
    <w:rsid w:val="425C3399"/>
    <w:rsid w:val="428D40A2"/>
    <w:rsid w:val="42D26958"/>
    <w:rsid w:val="438A6561"/>
    <w:rsid w:val="4391045E"/>
    <w:rsid w:val="44933AA9"/>
    <w:rsid w:val="44C04B5B"/>
    <w:rsid w:val="451C698D"/>
    <w:rsid w:val="456656F4"/>
    <w:rsid w:val="45A74F64"/>
    <w:rsid w:val="45D42288"/>
    <w:rsid w:val="45DC559C"/>
    <w:rsid w:val="460A1E72"/>
    <w:rsid w:val="464239D2"/>
    <w:rsid w:val="46646E54"/>
    <w:rsid w:val="46984281"/>
    <w:rsid w:val="46AD769B"/>
    <w:rsid w:val="46DD5A3B"/>
    <w:rsid w:val="477B544E"/>
    <w:rsid w:val="477E08A7"/>
    <w:rsid w:val="479D2B52"/>
    <w:rsid w:val="479F4F19"/>
    <w:rsid w:val="484B5427"/>
    <w:rsid w:val="490A07D9"/>
    <w:rsid w:val="494F407A"/>
    <w:rsid w:val="49983515"/>
    <w:rsid w:val="49DE18DD"/>
    <w:rsid w:val="4A965068"/>
    <w:rsid w:val="4AB12BFA"/>
    <w:rsid w:val="4AE136AF"/>
    <w:rsid w:val="4AE14DB8"/>
    <w:rsid w:val="4B922FC2"/>
    <w:rsid w:val="4B925A5A"/>
    <w:rsid w:val="4B9C09B5"/>
    <w:rsid w:val="4BA85984"/>
    <w:rsid w:val="4BC859A8"/>
    <w:rsid w:val="4C02188B"/>
    <w:rsid w:val="4C122EBA"/>
    <w:rsid w:val="4C7C2508"/>
    <w:rsid w:val="4C851D6D"/>
    <w:rsid w:val="4CAD2E1A"/>
    <w:rsid w:val="4D034250"/>
    <w:rsid w:val="4DD37F25"/>
    <w:rsid w:val="4E1D08A9"/>
    <w:rsid w:val="4E586160"/>
    <w:rsid w:val="4E922F64"/>
    <w:rsid w:val="4F3620ED"/>
    <w:rsid w:val="4F573CB2"/>
    <w:rsid w:val="4F7F3CC5"/>
    <w:rsid w:val="4FFD2277"/>
    <w:rsid w:val="51453A55"/>
    <w:rsid w:val="516C4F62"/>
    <w:rsid w:val="51B76E1F"/>
    <w:rsid w:val="51B82158"/>
    <w:rsid w:val="51C65294"/>
    <w:rsid w:val="51EB7A8C"/>
    <w:rsid w:val="520F53AD"/>
    <w:rsid w:val="52403DF8"/>
    <w:rsid w:val="525C1450"/>
    <w:rsid w:val="52D37157"/>
    <w:rsid w:val="533304DD"/>
    <w:rsid w:val="536845ED"/>
    <w:rsid w:val="53CC42C3"/>
    <w:rsid w:val="53FA5EC0"/>
    <w:rsid w:val="54276B25"/>
    <w:rsid w:val="54341262"/>
    <w:rsid w:val="548F2AF8"/>
    <w:rsid w:val="54C77B24"/>
    <w:rsid w:val="55A428F1"/>
    <w:rsid w:val="570E6481"/>
    <w:rsid w:val="57785009"/>
    <w:rsid w:val="57B974C8"/>
    <w:rsid w:val="57DA4935"/>
    <w:rsid w:val="580E2E04"/>
    <w:rsid w:val="580F0710"/>
    <w:rsid w:val="58C455EA"/>
    <w:rsid w:val="58DD4440"/>
    <w:rsid w:val="58F610EF"/>
    <w:rsid w:val="59A61C20"/>
    <w:rsid w:val="5B0E021D"/>
    <w:rsid w:val="5BF43FCD"/>
    <w:rsid w:val="5C084292"/>
    <w:rsid w:val="5CB47BCE"/>
    <w:rsid w:val="5D2A3B6F"/>
    <w:rsid w:val="5D4B6F8E"/>
    <w:rsid w:val="5DEE14E7"/>
    <w:rsid w:val="5DF878F6"/>
    <w:rsid w:val="5E857B5E"/>
    <w:rsid w:val="5EA72FD8"/>
    <w:rsid w:val="5FD54807"/>
    <w:rsid w:val="60647A74"/>
    <w:rsid w:val="612B2779"/>
    <w:rsid w:val="61571C02"/>
    <w:rsid w:val="61984230"/>
    <w:rsid w:val="619D0B77"/>
    <w:rsid w:val="620B54BA"/>
    <w:rsid w:val="620E0D6B"/>
    <w:rsid w:val="629D46B5"/>
    <w:rsid w:val="62D532B5"/>
    <w:rsid w:val="63284D53"/>
    <w:rsid w:val="63C25B2E"/>
    <w:rsid w:val="64410E4C"/>
    <w:rsid w:val="64562B12"/>
    <w:rsid w:val="64A40FC0"/>
    <w:rsid w:val="64C31DA5"/>
    <w:rsid w:val="65417F78"/>
    <w:rsid w:val="658E052F"/>
    <w:rsid w:val="66135A69"/>
    <w:rsid w:val="663451CB"/>
    <w:rsid w:val="666279CF"/>
    <w:rsid w:val="66AF0431"/>
    <w:rsid w:val="67532661"/>
    <w:rsid w:val="67A440FD"/>
    <w:rsid w:val="67AC32A5"/>
    <w:rsid w:val="67AE6124"/>
    <w:rsid w:val="67CC6A64"/>
    <w:rsid w:val="689A2ED2"/>
    <w:rsid w:val="696B6C9F"/>
    <w:rsid w:val="6AA62C60"/>
    <w:rsid w:val="6AD80530"/>
    <w:rsid w:val="6AF45BBD"/>
    <w:rsid w:val="6B1B4C66"/>
    <w:rsid w:val="6B576C33"/>
    <w:rsid w:val="6C14665D"/>
    <w:rsid w:val="6C147353"/>
    <w:rsid w:val="6C4B308E"/>
    <w:rsid w:val="6D08109F"/>
    <w:rsid w:val="6D142541"/>
    <w:rsid w:val="6DCF13B9"/>
    <w:rsid w:val="6DED2EC2"/>
    <w:rsid w:val="6E6B7911"/>
    <w:rsid w:val="6EB77451"/>
    <w:rsid w:val="6F2F125E"/>
    <w:rsid w:val="707261C5"/>
    <w:rsid w:val="708615F7"/>
    <w:rsid w:val="70A112E8"/>
    <w:rsid w:val="71161D2A"/>
    <w:rsid w:val="716B30BF"/>
    <w:rsid w:val="729F2FE4"/>
    <w:rsid w:val="72C20D55"/>
    <w:rsid w:val="72DD7BB7"/>
    <w:rsid w:val="73394925"/>
    <w:rsid w:val="73946B2F"/>
    <w:rsid w:val="741721F2"/>
    <w:rsid w:val="7474180A"/>
    <w:rsid w:val="75481756"/>
    <w:rsid w:val="768235F7"/>
    <w:rsid w:val="76D94C8A"/>
    <w:rsid w:val="76EC2B67"/>
    <w:rsid w:val="777C6115"/>
    <w:rsid w:val="77AE2DC1"/>
    <w:rsid w:val="77C61DD1"/>
    <w:rsid w:val="77DF0278"/>
    <w:rsid w:val="784A1355"/>
    <w:rsid w:val="79405401"/>
    <w:rsid w:val="7A23502E"/>
    <w:rsid w:val="7A3D74CF"/>
    <w:rsid w:val="7A4152D8"/>
    <w:rsid w:val="7A532747"/>
    <w:rsid w:val="7A7B63B6"/>
    <w:rsid w:val="7CAE2319"/>
    <w:rsid w:val="7CC660AE"/>
    <w:rsid w:val="7DFF3469"/>
    <w:rsid w:val="7E3668D4"/>
    <w:rsid w:val="7E4F75B6"/>
    <w:rsid w:val="7E923E80"/>
    <w:rsid w:val="7F037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style01"/>
    <w:basedOn w:val="4"/>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1029</Words>
  <Characters>5869</Characters>
  <Lines>48</Lines>
  <Paragraphs>13</Paragraphs>
  <TotalTime>0</TotalTime>
  <ScaleCrop>false</ScaleCrop>
  <LinksUpToDate>false</LinksUpToDate>
  <CharactersWithSpaces>6885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2021-03-21T03:45:00Z</dcterms:created>
  <dc:creator>buwei</dc:creator>
  <cp:lastModifiedBy>ZBL</cp:lastModifiedBy>
  <cp:lastPrinted>2025-12-11T08:09:00Z</cp:lastPrinted>
  <dcterms:modified xsi:type="dcterms:W3CDTF">2026-07-23T07:39:34Z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556D35A7633E424B90D6F8B5BFE34E0A</vt:lpwstr>
  </property>
</Properties>
</file>