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oter4.xml" ContentType="application/vnd.openxmlformats-officedocument.wordprocessingml.footer+xml"/>
  <Override PartName="/word/footnotes.xml" ContentType="application/vnd.openxmlformats-officedocument.wordprocessingml.footnotes+xml"/>
  <Override PartName="/word/glossary/document.xml" ContentType="application/vnd.openxmlformats-officedocument.wordprocessingml.document.glossary+xml"/>
  <Override PartName="/word/glossary/fontTable.xml" ContentType="application/vnd.openxmlformats-officedocument.wordprocessingml.fontTable+xml"/>
  <Override PartName="/word/glossary/settings.xml" ContentType="application/vnd.openxmlformats-officedocument.wordprocessingml.settings+xml"/>
  <Override PartName="/word/glossary/styles.xml" ContentType="application/vnd.openxmlformats-officedocument.wordprocessingml.style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header4.xml" ContentType="application/vnd.openxmlformats-officedocument.wordprocessingml.header+xml"/>
  <Override PartName="/word/header5.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tbl>
      <w:tblPr>
        <w:tblStyle w:val="27"/>
        <w:tblW w:w="9364" w:type="dxa"/>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autofit"/>
        <w:tblCellMar>
          <w:top w:w="0" w:type="dxa"/>
          <w:left w:w="0" w:type="dxa"/>
          <w:bottom w:w="0" w:type="dxa"/>
          <w:right w:w="0" w:type="dxa"/>
        </w:tblCellMar>
      </w:tblPr>
      <w:tblGrid>
        <w:gridCol w:w="509"/>
        <w:gridCol w:w="8855"/>
      </w:tblGrid>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0" w:type="dxa"/>
            <w:bottom w:w="0" w:type="dxa"/>
            <w:right w:w="0" w:type="dxa"/>
          </w:tblCellMar>
        </w:tblPrEx>
        <w:tc>
          <w:tcPr>
            <w:tcW w:w="509" w:type="dxa"/>
          </w:tcPr>
          <w:p>
            <w:pPr>
              <w:pStyle w:val="18"/>
              <w:framePr w:wrap="notBeside" w:vAnchor="page" w:hAnchor="page" w:x="1372" w:y="568"/>
              <w:tabs>
                <w:tab w:val="clear" w:pos="4153"/>
                <w:tab w:val="clear" w:pos="8306"/>
              </w:tabs>
              <w:spacing w:line="240" w:lineRule="auto"/>
              <w:jc w:val="left"/>
              <w:rPr>
                <w:rFonts w:hint="eastAsia" w:ascii="黑体" w:hAnsi="黑体" w:eastAsia="黑体"/>
                <w:sz w:val="21"/>
                <w:szCs w:val="21"/>
              </w:rPr>
            </w:pPr>
            <w:r>
              <w:rPr>
                <w:rFonts w:ascii="Times New Roman" w:hAnsi="Times New Roman" w:eastAsia="黑体"/>
                <w:sz w:val="21"/>
                <w:szCs w:val="21"/>
              </w:rPr>
              <w:t>ICS</w:t>
            </w:r>
            <w:r>
              <w:rPr>
                <w:rFonts w:ascii="黑体" w:hAnsi="黑体" w:eastAsia="黑体"/>
                <w:sz w:val="21"/>
                <w:szCs w:val="21"/>
              </w:rPr>
              <w:t xml:space="preserve">  </w:t>
            </w:r>
          </w:p>
        </w:tc>
        <w:tc>
          <w:tcPr>
            <w:tcW w:w="8855" w:type="dxa"/>
          </w:tcPr>
          <w:p>
            <w:pPr>
              <w:pStyle w:val="18"/>
              <w:framePr w:wrap="notBeside" w:vAnchor="page" w:hAnchor="page" w:x="1372" w:y="568"/>
              <w:tabs>
                <w:tab w:val="clear" w:pos="4153"/>
                <w:tab w:val="clear" w:pos="8306"/>
              </w:tabs>
              <w:spacing w:line="240" w:lineRule="auto"/>
              <w:ind w:left="3"/>
              <w:jc w:val="both"/>
              <w:rPr>
                <w:rFonts w:hint="eastAsia" w:ascii="黑体" w:hAnsi="黑体" w:eastAsia="黑体"/>
                <w:sz w:val="21"/>
                <w:szCs w:val="21"/>
              </w:rPr>
            </w:pPr>
            <w:r>
              <w:rPr>
                <w:rFonts w:ascii="黑体" w:hAnsi="黑体" w:eastAsia="黑体"/>
                <w:sz w:val="21"/>
                <w:szCs w:val="21"/>
              </w:rPr>
              <w:fldChar w:fldCharType="begin">
                <w:ffData>
                  <w:name w:val="ICS"/>
                  <w:enabled/>
                  <w:calcOnExit w:val="0"/>
                  <w:textInput>
                    <w:default w:val="点击此处添加ICS号"/>
                  </w:textInput>
                </w:ffData>
              </w:fldChar>
            </w:r>
            <w:bookmarkStart w:id="0" w:name="ICS"/>
            <w:r>
              <w:rPr>
                <w:rFonts w:ascii="黑体" w:hAnsi="黑体" w:eastAsia="黑体"/>
                <w:sz w:val="21"/>
                <w:szCs w:val="21"/>
              </w:rPr>
              <w:instrText xml:space="preserve"> FORMTEXT </w:instrText>
            </w:r>
            <w:r>
              <w:rPr>
                <w:rFonts w:ascii="黑体" w:hAnsi="黑体" w:eastAsia="黑体"/>
                <w:sz w:val="21"/>
                <w:szCs w:val="21"/>
              </w:rPr>
              <w:fldChar w:fldCharType="separate"/>
            </w:r>
            <w:r>
              <w:rPr>
                <w:rFonts w:hint="eastAsia" w:ascii="黑体" w:hAnsi="黑体" w:eastAsia="黑体"/>
                <w:sz w:val="21"/>
                <w:szCs w:val="21"/>
              </w:rPr>
              <w:t>点击此处添加ICS号</w:t>
            </w:r>
            <w:r>
              <w:rPr>
                <w:rFonts w:ascii="黑体" w:hAnsi="黑体" w:eastAsia="黑体"/>
                <w:sz w:val="21"/>
                <w:szCs w:val="21"/>
              </w:rPr>
              <w:fldChar w:fldCharType="end"/>
            </w:r>
            <w:bookmarkEnd w:id="0"/>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PrEx>
        <w:tc>
          <w:tcPr>
            <w:tcW w:w="509" w:type="dxa"/>
          </w:tcPr>
          <w:p>
            <w:pPr>
              <w:pStyle w:val="18"/>
              <w:framePr w:wrap="notBeside" w:vAnchor="page" w:hAnchor="page" w:x="1372" w:y="568"/>
              <w:tabs>
                <w:tab w:val="clear" w:pos="4153"/>
                <w:tab w:val="clear" w:pos="8306"/>
              </w:tabs>
              <w:spacing w:before="40" w:line="240" w:lineRule="auto"/>
              <w:jc w:val="left"/>
              <w:rPr>
                <w:rFonts w:hint="eastAsia" w:ascii="黑体" w:hAnsi="黑体" w:eastAsia="黑体"/>
                <w:sz w:val="21"/>
                <w:szCs w:val="21"/>
              </w:rPr>
            </w:pPr>
            <w:r>
              <w:rPr>
                <w:rFonts w:ascii="Times New Roman" w:hAnsi="Times New Roman" w:eastAsia="黑体"/>
                <w:sz w:val="21"/>
                <w:szCs w:val="21"/>
              </w:rPr>
              <w:t xml:space="preserve">CCS </w:t>
            </w:r>
            <w:r>
              <w:rPr>
                <w:rFonts w:ascii="黑体" w:hAnsi="黑体" w:eastAsia="黑体"/>
                <w:sz w:val="21"/>
                <w:szCs w:val="21"/>
              </w:rPr>
              <w:t xml:space="preserve"> </w:t>
            </w:r>
          </w:p>
        </w:tc>
        <w:tc>
          <w:tcPr>
            <w:tcW w:w="8855" w:type="dxa"/>
          </w:tcPr>
          <w:p>
            <w:pPr>
              <w:pStyle w:val="18"/>
              <w:framePr w:wrap="notBeside" w:vAnchor="page" w:hAnchor="page" w:x="1372" w:y="568"/>
              <w:tabs>
                <w:tab w:val="clear" w:pos="4153"/>
                <w:tab w:val="clear" w:pos="8306"/>
              </w:tabs>
              <w:spacing w:before="40" w:line="240" w:lineRule="auto"/>
              <w:jc w:val="left"/>
              <w:rPr>
                <w:rFonts w:hint="eastAsia" w:ascii="黑体" w:hAnsi="黑体" w:eastAsia="黑体"/>
                <w:sz w:val="21"/>
                <w:szCs w:val="21"/>
              </w:rPr>
            </w:pPr>
            <w:r>
              <w:rPr>
                <w:rFonts w:ascii="黑体" w:hAnsi="黑体" w:eastAsia="黑体"/>
                <w:sz w:val="21"/>
                <w:szCs w:val="21"/>
              </w:rPr>
              <w:fldChar w:fldCharType="begin">
                <w:ffData>
                  <w:name w:val="CSDN"/>
                  <w:enabled/>
                  <w:calcOnExit w:val="0"/>
                  <w:textInput>
                    <w:default w:val="点击此处添加CCS号"/>
                  </w:textInput>
                </w:ffData>
              </w:fldChar>
            </w:r>
            <w:bookmarkStart w:id="1" w:name="CSDN"/>
            <w:r>
              <w:rPr>
                <w:rFonts w:ascii="黑体" w:hAnsi="黑体" w:eastAsia="黑体"/>
                <w:sz w:val="21"/>
                <w:szCs w:val="21"/>
              </w:rPr>
              <w:instrText xml:space="preserve"> FORMTEXT </w:instrText>
            </w:r>
            <w:r>
              <w:rPr>
                <w:rFonts w:ascii="黑体" w:hAnsi="黑体" w:eastAsia="黑体"/>
                <w:sz w:val="21"/>
                <w:szCs w:val="21"/>
              </w:rPr>
              <w:fldChar w:fldCharType="separate"/>
            </w:r>
            <w:r>
              <w:rPr>
                <w:rFonts w:ascii="黑体" w:hAnsi="黑体" w:eastAsia="黑体"/>
                <w:sz w:val="21"/>
                <w:szCs w:val="21"/>
              </w:rPr>
              <w:t>点击此处添加CCS号</w:t>
            </w:r>
            <w:r>
              <w:rPr>
                <w:rFonts w:ascii="黑体" w:hAnsi="黑体" w:eastAsia="黑体"/>
                <w:sz w:val="21"/>
                <w:szCs w:val="21"/>
              </w:rPr>
              <w:fldChar w:fldCharType="end"/>
            </w:r>
            <w:bookmarkEnd w:id="1"/>
          </w:p>
        </w:tc>
      </w:tr>
    </w:tbl>
    <w:tbl>
      <w:tblPr>
        <w:tblStyle w:val="27"/>
        <w:tblpPr w:leftFromText="181" w:rightFromText="181" w:horzAnchor="margin" w:tblpX="3857" w:tblpY="568"/>
        <w:tblW w:w="0" w:type="auto"/>
        <w:tblInd w:w="0" w:type="dxa"/>
        <w:tblBorders>
          <w:top w:val="none" w:color="auto" w:sz="0" w:space="0"/>
          <w:left w:val="none" w:color="auto" w:sz="0" w:space="0"/>
          <w:bottom w:val="none" w:color="auto" w:sz="0" w:space="0"/>
          <w:right w:val="none" w:color="auto" w:sz="0" w:space="0"/>
          <w:insideH w:val="single" w:color="auto" w:sz="4" w:space="0"/>
          <w:insideV w:val="single" w:color="auto" w:sz="4" w:space="0"/>
        </w:tblBorders>
        <w:tblLayout w:type="autofit"/>
        <w:tblCellMar>
          <w:top w:w="0" w:type="dxa"/>
          <w:left w:w="0" w:type="dxa"/>
          <w:bottom w:w="0" w:type="dxa"/>
          <w:right w:w="0" w:type="dxa"/>
        </w:tblCellMar>
      </w:tblPr>
      <w:tblGrid>
        <w:gridCol w:w="4990"/>
      </w:tblGrid>
      <w:tr>
        <w:tblPrEx>
          <w:tblBorders>
            <w:top w:val="none" w:color="auto" w:sz="0" w:space="0"/>
            <w:left w:val="none" w:color="auto" w:sz="0" w:space="0"/>
            <w:bottom w:val="none" w:color="auto" w:sz="0" w:space="0"/>
            <w:right w:val="none" w:color="auto" w:sz="0" w:space="0"/>
            <w:insideH w:val="single" w:color="auto" w:sz="4" w:space="0"/>
            <w:insideV w:val="single" w:color="auto" w:sz="4" w:space="0"/>
          </w:tblBorders>
          <w:tblCellMar>
            <w:top w:w="0" w:type="dxa"/>
            <w:left w:w="0" w:type="dxa"/>
            <w:bottom w:w="0" w:type="dxa"/>
            <w:right w:w="0" w:type="dxa"/>
          </w:tblCellMar>
        </w:tblPrEx>
        <w:trPr>
          <w:trHeight w:val="1128" w:hRule="atLeast"/>
        </w:trPr>
        <w:tc>
          <w:tcPr>
            <w:tcW w:w="4990" w:type="dxa"/>
          </w:tcPr>
          <w:p>
            <w:pPr>
              <w:pStyle w:val="49"/>
              <w:framePr w:w="0" w:hRule="auto" w:wrap="auto" w:vAnchor="margin" w:hAnchor="text" w:xAlign="left" w:yAlign="inline"/>
              <w:ind w:firstLine="420"/>
            </w:pPr>
            <w:bookmarkStart w:id="2" w:name="_Hlk26473981"/>
            <w:r>
              <w:fldChar w:fldCharType="begin">
                <w:ffData>
                  <w:name w:val="c1"/>
                  <w:enabled/>
                  <w:calcOnExit w:val="0"/>
                  <w:textInput>
                    <w:maxLength w:val="8"/>
                  </w:textInput>
                </w:ffData>
              </w:fldChar>
            </w:r>
            <w:bookmarkStart w:id="3" w:name="c1"/>
            <w:r>
              <w:instrText xml:space="preserve"> FORMTEXT </w:instrText>
            </w:r>
            <w:r>
              <w:fldChar w:fldCharType="separate"/>
            </w:r>
            <w:r>
              <w:t>     </w:t>
            </w:r>
            <w:r>
              <w:fldChar w:fldCharType="end"/>
            </w:r>
            <w:bookmarkEnd w:id="3"/>
          </w:p>
        </w:tc>
      </w:tr>
    </w:tbl>
    <w:p>
      <w:pPr>
        <w:pStyle w:val="50"/>
        <w:framePr w:w="9639" w:h="624" w:hRule="exact" w:hSpace="181" w:vSpace="181" w:hAnchor="page" w:x="1305" w:y="2269"/>
        <w:rPr>
          <w:rFonts w:hint="eastAsia" w:ascii="黑体" w:hAnsi="黑体" w:eastAsia="黑体"/>
          <w:b w:val="0"/>
          <w:bCs w:val="0"/>
          <w:w w:val="100"/>
          <w:sz w:val="48"/>
          <w:szCs w:val="48"/>
        </w:rPr>
      </w:pPr>
      <w:r>
        <w:rPr>
          <w:rFonts w:hint="eastAsia" w:ascii="黑体" w:hAnsi="黑体" w:eastAsia="黑体"/>
          <w:b w:val="0"/>
          <w:bCs w:val="0"/>
          <w:w w:val="100"/>
          <w:sz w:val="48"/>
          <w:szCs w:val="48"/>
        </w:rPr>
        <w:t>中华人民共和国</w:t>
      </w:r>
      <w:r>
        <w:rPr>
          <w:rFonts w:ascii="黑体" w:eastAsia="黑体"/>
          <w:b w:val="0"/>
          <w:bCs w:val="0"/>
          <w:w w:val="100"/>
          <w:sz w:val="48"/>
        </w:rPr>
        <w:fldChar w:fldCharType="begin">
          <w:ffData>
            <w:name w:val="c2"/>
            <w:enabled/>
            <w:calcOnExit w:val="0"/>
            <w:textInput/>
          </w:ffData>
        </w:fldChar>
      </w:r>
      <w:bookmarkStart w:id="4" w:name="c2"/>
      <w:r>
        <w:rPr>
          <w:rFonts w:ascii="黑体" w:eastAsia="黑体"/>
          <w:b w:val="0"/>
          <w:bCs w:val="0"/>
          <w:w w:val="100"/>
          <w:sz w:val="48"/>
        </w:rPr>
        <w:instrText xml:space="preserve"> FORMTEXT </w:instrText>
      </w:r>
      <w:r>
        <w:rPr>
          <w:rFonts w:ascii="黑体" w:eastAsia="黑体"/>
          <w:b w:val="0"/>
          <w:bCs w:val="0"/>
          <w:w w:val="100"/>
          <w:sz w:val="48"/>
        </w:rPr>
        <w:fldChar w:fldCharType="separate"/>
      </w:r>
      <w:r>
        <w:rPr>
          <w:rFonts w:hint="eastAsia" w:ascii="黑体" w:eastAsia="黑体"/>
          <w:b w:val="0"/>
          <w:bCs w:val="0"/>
          <w:w w:val="100"/>
          <w:sz w:val="48"/>
        </w:rPr>
        <w:t>市场监管</w:t>
      </w:r>
      <w:r>
        <w:rPr>
          <w:rFonts w:ascii="黑体" w:eastAsia="黑体"/>
          <w:b w:val="0"/>
          <w:bCs w:val="0"/>
          <w:w w:val="100"/>
          <w:sz w:val="48"/>
        </w:rPr>
        <w:fldChar w:fldCharType="end"/>
      </w:r>
      <w:bookmarkEnd w:id="4"/>
      <w:r>
        <w:rPr>
          <w:rFonts w:hint="eastAsia" w:ascii="黑体" w:hAnsi="黑体" w:eastAsia="黑体"/>
          <w:b w:val="0"/>
          <w:bCs w:val="0"/>
          <w:w w:val="100"/>
          <w:sz w:val="48"/>
          <w:szCs w:val="48"/>
        </w:rPr>
        <w:t>行业标准</w:t>
      </w:r>
    </w:p>
    <w:bookmarkEnd w:id="2"/>
    <w:p>
      <w:pPr>
        <w:pStyle w:val="195"/>
        <w:rPr>
          <w:lang w:val="fr-FR"/>
        </w:rPr>
      </w:pPr>
      <w:r>
        <w:fldChar w:fldCharType="begin">
          <w:ffData>
            <w:name w:val="文字1"/>
            <w:enabled/>
            <w:calcOnExit w:val="0"/>
            <w:textInput>
              <w:default w:val="XX/T"/>
            </w:textInput>
          </w:ffData>
        </w:fldChar>
      </w:r>
      <w:bookmarkStart w:id="5" w:name="文字1"/>
      <w:r>
        <w:rPr>
          <w:lang w:val="fr-FR"/>
        </w:rPr>
        <w:instrText xml:space="preserve"> FORMTEXT </w:instrText>
      </w:r>
      <w:r>
        <w:fldChar w:fldCharType="separate"/>
      </w:r>
      <w:r>
        <w:rPr>
          <w:rFonts w:hint="eastAsia"/>
          <w:lang w:val="fr-FR"/>
        </w:rPr>
        <w:t>MR</w:t>
      </w:r>
      <w:r>
        <w:rPr>
          <w:lang w:val="fr-FR"/>
        </w:rPr>
        <w:t>/T</w:t>
      </w:r>
      <w:r>
        <w:fldChar w:fldCharType="end"/>
      </w:r>
      <w:bookmarkEnd w:id="5"/>
      <w:r>
        <w:rPr>
          <w:lang w:val="fr-FR"/>
        </w:rPr>
        <w:t xml:space="preserve"> </w:t>
      </w:r>
      <w:r>
        <w:fldChar w:fldCharType="begin">
          <w:ffData>
            <w:name w:val="NSTD_CODE_F"/>
            <w:enabled/>
            <w:calcOnExit w:val="0"/>
            <w:textInput>
              <w:default w:val="XXXXX"/>
            </w:textInput>
          </w:ffData>
        </w:fldChar>
      </w:r>
      <w:bookmarkStart w:id="6" w:name="NSTD_CODE_F"/>
      <w:r>
        <w:rPr>
          <w:lang w:val="fr-FR"/>
        </w:rPr>
        <w:instrText xml:space="preserve"> FORMTEXT </w:instrText>
      </w:r>
      <w:r>
        <w:fldChar w:fldCharType="separate"/>
      </w:r>
      <w:r>
        <w:rPr>
          <w:lang w:val="fr-FR"/>
        </w:rPr>
        <w:t>XXXXX</w:t>
      </w:r>
      <w:r>
        <w:fldChar w:fldCharType="end"/>
      </w:r>
      <w:bookmarkEnd w:id="6"/>
      <w:r>
        <w:rPr>
          <w:rFonts w:hAnsi="黑体"/>
          <w:lang w:val="fr-FR"/>
        </w:rPr>
        <w:t>—</w:t>
      </w:r>
      <w:r>
        <w:fldChar w:fldCharType="begin">
          <w:ffData>
            <w:name w:val="NSTD_CODE_B"/>
            <w:enabled/>
            <w:calcOnExit w:val="0"/>
            <w:textInput>
              <w:default w:val="XXXX"/>
            </w:textInput>
          </w:ffData>
        </w:fldChar>
      </w:r>
      <w:bookmarkStart w:id="7" w:name="NSTD_CODE_B"/>
      <w:r>
        <w:rPr>
          <w:lang w:val="fr-FR"/>
        </w:rPr>
        <w:instrText xml:space="preserve"> FORMTEXT </w:instrText>
      </w:r>
      <w:r>
        <w:fldChar w:fldCharType="separate"/>
      </w:r>
      <w:r>
        <w:rPr>
          <w:lang w:val="fr-FR"/>
        </w:rPr>
        <w:t>XXXX</w:t>
      </w:r>
      <w:r>
        <w:fldChar w:fldCharType="end"/>
      </w:r>
      <w:bookmarkEnd w:id="7"/>
    </w:p>
    <w:p>
      <w:pPr>
        <w:pStyle w:val="196"/>
        <w:rPr>
          <w:rFonts w:hint="eastAsia" w:hAnsi="黑体"/>
          <w:lang w:val="fr-FR"/>
        </w:rPr>
      </w:pPr>
      <w:r>
        <w:rPr>
          <w:rFonts w:hAnsi="黑体"/>
        </w:rPr>
        <w:fldChar w:fldCharType="begin">
          <w:ffData>
            <w:name w:val="OSTD_CODE"/>
            <w:enabled/>
            <w:calcOnExit w:val="0"/>
            <w:textInput/>
          </w:ffData>
        </w:fldChar>
      </w:r>
      <w:bookmarkStart w:id="8" w:name="OSTD_CODE"/>
      <w:r>
        <w:rPr>
          <w:rFonts w:hAnsi="黑体"/>
          <w:lang w:val="fr-FR"/>
        </w:rPr>
        <w:instrText xml:space="preserve"> FORMTEXT </w:instrText>
      </w:r>
      <w:r>
        <w:rPr>
          <w:rFonts w:hAnsi="黑体"/>
        </w:rPr>
        <w:fldChar w:fldCharType="separate"/>
      </w:r>
      <w:r>
        <w:rPr>
          <w:rFonts w:hAnsi="黑体"/>
        </w:rPr>
        <w:t>代替</w:t>
      </w:r>
      <w:r>
        <w:rPr>
          <w:rFonts w:hAnsi="黑体"/>
          <w:lang w:val="fr-FR"/>
        </w:rPr>
        <w:t xml:space="preserve"> XX/T</w:t>
      </w:r>
      <w:r>
        <w:rPr>
          <w:rFonts w:hAnsi="黑体"/>
        </w:rPr>
        <w:fldChar w:fldCharType="end"/>
      </w:r>
      <w:bookmarkEnd w:id="8"/>
    </w:p>
    <w:p>
      <w:pPr>
        <w:spacing w:line="240" w:lineRule="auto"/>
        <w:rPr>
          <w:rFonts w:hint="eastAsia" w:ascii="黑体" w:hAnsi="黑体" w:eastAsia="黑体"/>
          <w:kern w:val="0"/>
          <w:sz w:val="10"/>
          <w:szCs w:val="10"/>
          <w:lang w:val="fr-FR"/>
        </w:rPr>
      </w:pPr>
      <w:r>
        <w:rPr>
          <w:rFonts w:ascii="黑体" w:hAnsi="黑体" w:eastAsia="黑体"/>
          <w:kern w:val="0"/>
          <w:sz w:val="10"/>
          <w:szCs w:val="10"/>
        </w:rPr>
        <mc:AlternateContent>
          <mc:Choice Requires="wps">
            <w:drawing>
              <wp:anchor distT="0" distB="0" distL="114300" distR="114300" simplePos="0" relativeHeight="251659264" behindDoc="0" locked="0" layoutInCell="1" allowOverlap="0">
                <wp:simplePos x="0" y="0"/>
                <wp:positionH relativeFrom="page">
                  <wp:posOffset>900430</wp:posOffset>
                </wp:positionH>
                <wp:positionV relativeFrom="page">
                  <wp:posOffset>2700655</wp:posOffset>
                </wp:positionV>
                <wp:extent cx="6120130" cy="0"/>
                <wp:effectExtent l="0" t="0" r="0" b="0"/>
                <wp:wrapNone/>
                <wp:docPr id="73" name="直接连接符 73"/>
                <wp:cNvGraphicFramePr/>
                <a:graphic xmlns:a="http://schemas.openxmlformats.org/drawingml/2006/main">
                  <a:graphicData uri="http://schemas.microsoft.com/office/word/2010/wordprocessingShape">
                    <wps:wsp>
                      <wps:cNvCnPr>
                        <a:cxnSpLocks noChangeShapeType="true"/>
                      </wps:cNvCnPr>
                      <wps:spPr bwMode="auto">
                        <a:xfrm>
                          <a:off x="0" y="0"/>
                          <a:ext cx="6120000" cy="0"/>
                        </a:xfrm>
                        <a:prstGeom prst="line">
                          <a:avLst/>
                        </a:prstGeom>
                        <a:noFill/>
                        <a:ln w="9525">
                          <a:solidFill>
                            <a:srgbClr val="000000"/>
                          </a:solidFill>
                          <a:round/>
                        </a:ln>
                      </wps:spPr>
                      <wps:bodyPr/>
                    </wps:wsp>
                  </a:graphicData>
                </a:graphic>
              </wp:anchor>
            </w:drawing>
          </mc:Choice>
          <mc:Fallback>
            <w:pict>
              <v:line id="_x0000_s1026" o:spid="_x0000_s1026" o:spt="20" style="position:absolute;left:0pt;margin-left:70.9pt;margin-top:212.65pt;height:0pt;width:481.9pt;mso-position-horizontal-relative:page;mso-position-vertical-relative:page;z-index:251659264;mso-width-relative:page;mso-height-relative:page;" filled="f" stroked="t" coordsize="21600,21600" o:allowoverlap="f" o:gfxdata="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">
                <v:fill on="f" focussize="0,0"/>
                <v:stroke color="#000000" joinstyle="round"/>
                <v:imagedata o:title=""/>
                <o:lock v:ext="edit" aspectratio="f"/>
              </v:line>
            </w:pict>
          </mc:Fallback>
        </mc:AlternateContent>
      </w:r>
    </w:p>
    <w:p>
      <w:pPr>
        <w:pStyle w:val="50"/>
        <w:framePr w:w="9639" w:h="6976" w:hRule="exact" w:hSpace="0" w:vSpace="0" w:hAnchor="page" w:y="6408"/>
        <w:jc w:val="center"/>
        <w:rPr>
          <w:rFonts w:hint="eastAsia" w:ascii="黑体" w:hAnsi="黑体" w:eastAsia="黑体"/>
          <w:b w:val="0"/>
          <w:bCs w:val="0"/>
          <w:w w:val="100"/>
          <w:lang w:val="fr-FR"/>
        </w:rPr>
      </w:pPr>
    </w:p>
    <w:p>
      <w:pPr>
        <w:pStyle w:val="197"/>
        <w:framePr w:h="6974" w:hRule="exact" w:wrap="around" w:x="1419" w:anchorLock="1"/>
        <w:rPr>
          <w:rFonts w:hint="eastAsia"/>
        </w:rPr>
      </w:pPr>
      <w:r>
        <w:fldChar w:fldCharType="begin">
          <w:ffData>
            <w:name w:val="CSTD_NAME"/>
            <w:enabled/>
            <w:calcOnExit w:val="0"/>
            <w:textInput>
              <w:default w:val="点击此处添加标准名称"/>
            </w:textInput>
          </w:ffData>
        </w:fldChar>
      </w:r>
      <w:bookmarkStart w:id="9" w:name="CSTD_NAME"/>
      <w:r>
        <w:instrText xml:space="preserve"> FORMTEXT </w:instrText>
      </w:r>
      <w:r>
        <w:fldChar w:fldCharType="separate"/>
      </w:r>
      <w:r>
        <w:rPr>
          <w:rFonts w:hint="eastAsia"/>
        </w:rPr>
        <w:t>经营者反垄断合规管理体系 评价规范</w:t>
      </w:r>
      <w:r>
        <w:fldChar w:fldCharType="end"/>
      </w:r>
      <w:bookmarkEnd w:id="9"/>
    </w:p>
    <w:p>
      <w:pPr>
        <w:framePr w:w="9639" w:h="6974" w:hRule="exact" w:wrap="around" w:vAnchor="page" w:hAnchor="page" w:x="1419" w:y="6408" w:anchorLock="1"/>
        <w:ind w:left="-1418"/>
      </w:pPr>
    </w:p>
    <w:p>
      <w:pPr>
        <w:pStyle w:val="125"/>
        <w:framePr w:w="9639" w:h="6974" w:hRule="exact" w:wrap="around" w:vAnchor="page" w:hAnchor="page" w:x="1419" w:y="6408" w:anchorLock="1"/>
        <w:textAlignment w:val="bottom"/>
        <w:rPr>
          <w:rFonts w:eastAsia="黑体"/>
          <w:szCs w:val="28"/>
        </w:rPr>
      </w:pPr>
      <w:r>
        <w:rPr>
          <w:rFonts w:eastAsia="黑体"/>
          <w:szCs w:val="28"/>
        </w:rPr>
        <w:fldChar w:fldCharType="begin">
          <w:ffData>
            <w:name w:val="ESTD_NAME"/>
            <w:enabled/>
            <w:calcOnExit w:val="0"/>
            <w:textInput>
              <w:default w:val="点击此处添加标准名称的英文译名"/>
            </w:textInput>
          </w:ffData>
        </w:fldChar>
      </w:r>
      <w:bookmarkStart w:id="10" w:name="ESTD_NAME"/>
      <w:r>
        <w:rPr>
          <w:rFonts w:eastAsia="黑体"/>
          <w:szCs w:val="28"/>
        </w:rPr>
        <w:instrText xml:space="preserve"> FORMTEXT </w:instrText>
      </w:r>
      <w:r>
        <w:rPr>
          <w:rFonts w:eastAsia="黑体"/>
          <w:szCs w:val="28"/>
        </w:rPr>
        <w:fldChar w:fldCharType="separate"/>
      </w:r>
      <w:r>
        <w:rPr>
          <w:rFonts w:hint="eastAsia" w:eastAsia="黑体"/>
          <w:szCs w:val="28"/>
        </w:rPr>
        <w:t>Antitrust Compliance Management System for Udertakings：Evaluation Specifications</w:t>
      </w:r>
      <w:r>
        <w:rPr>
          <w:rFonts w:eastAsia="黑体"/>
          <w:szCs w:val="28"/>
        </w:rPr>
        <w:t>     </w:t>
      </w:r>
      <w:r>
        <w:rPr>
          <w:rFonts w:eastAsia="黑体"/>
          <w:szCs w:val="28"/>
        </w:rPr>
        <w:fldChar w:fldCharType="end"/>
      </w:r>
      <w:bookmarkEnd w:id="10"/>
    </w:p>
    <w:p>
      <w:pPr>
        <w:framePr w:w="9639" w:h="6974" w:hRule="exact" w:wrap="around" w:vAnchor="page" w:hAnchor="page" w:x="1419" w:y="6408" w:anchorLock="1"/>
        <w:spacing w:line="760" w:lineRule="exact"/>
        <w:ind w:left="-1418"/>
      </w:pPr>
    </w:p>
    <w:p>
      <w:pPr>
        <w:pStyle w:val="125"/>
        <w:framePr w:w="9639" w:h="6974" w:hRule="exact" w:wrap="around" w:vAnchor="page" w:hAnchor="page" w:x="1419" w:y="6408" w:anchorLock="1"/>
        <w:textAlignment w:val="bottom"/>
        <w:rPr>
          <w:rFonts w:eastAsia="黑体"/>
          <w:szCs w:val="28"/>
        </w:rPr>
      </w:pPr>
      <w:r>
        <w:rPr>
          <w:rFonts w:eastAsia="黑体"/>
          <w:szCs w:val="28"/>
        </w:rPr>
        <w:fldChar w:fldCharType="begin">
          <w:ffData>
            <w:name w:val="IN_STD_CODE"/>
            <w:enabled/>
            <w:calcOnExit w:val="0"/>
            <w:textInput>
              <w:default w:val="(点击此处添加与国际标准一致性程度的标识)"/>
            </w:textInput>
          </w:ffData>
        </w:fldChar>
      </w:r>
      <w:bookmarkStart w:id="11" w:name="IN_STD_CODE"/>
      <w:r>
        <w:rPr>
          <w:rFonts w:eastAsia="黑体"/>
          <w:szCs w:val="28"/>
        </w:rPr>
        <w:instrText xml:space="preserve"> FORMTEXT </w:instrText>
      </w:r>
      <w:r>
        <w:rPr>
          <w:rFonts w:eastAsia="黑体"/>
          <w:szCs w:val="28"/>
        </w:rPr>
        <w:fldChar w:fldCharType="separate"/>
      </w:r>
      <w:r>
        <w:rPr>
          <w:rFonts w:hint="eastAsia" w:eastAsia="黑体"/>
          <w:szCs w:val="28"/>
        </w:rPr>
        <w:t>(点击此处添加与国际标准一致性程度的标识)</w:t>
      </w:r>
      <w:r>
        <w:rPr>
          <w:rFonts w:eastAsia="黑体"/>
          <w:szCs w:val="28"/>
        </w:rPr>
        <w:fldChar w:fldCharType="end"/>
      </w:r>
      <w:bookmarkEnd w:id="11"/>
    </w:p>
    <w:p>
      <w:pPr>
        <w:pStyle w:val="125"/>
        <w:framePr w:w="9639" w:h="6974" w:hRule="exact" w:wrap="around" w:vAnchor="page" w:hAnchor="page" w:x="1419" w:y="6408" w:anchorLock="1"/>
        <w:spacing w:before="440" w:after="160"/>
        <w:textAlignment w:val="bottom"/>
        <w:rPr>
          <w:sz w:val="24"/>
          <w:szCs w:val="28"/>
        </w:rPr>
      </w:pPr>
      <w:r>
        <w:rPr>
          <w:sz w:val="24"/>
          <w:szCs w:val="28"/>
        </w:rPr>
        <w:fldChar w:fldCharType="begin">
          <w:ffData>
            <w:name w:val="下拉1"/>
            <w:enabled/>
            <w:calcOnExit w:val="0"/>
            <w:ddList>
              <w:result w:val="3"/>
              <w:listEntry w:val=" "/>
              <w:listEntry w:val="草案版次选择"/>
              <w:listEntry w:val="（工作组讨论稿）"/>
              <w:listEntry w:val="（征求意见稿）"/>
              <w:listEntry w:val="（送审讨论稿）"/>
              <w:listEntry w:val="（送审稿）"/>
              <w:listEntry w:val="（报批稿）"/>
            </w:ddList>
          </w:ffData>
        </w:fldChar>
      </w:r>
      <w:bookmarkStart w:id="12" w:name="下拉1"/>
      <w:r>
        <w:rPr>
          <w:sz w:val="24"/>
          <w:szCs w:val="28"/>
        </w:rPr>
        <w:instrText xml:space="preserve"> FORMDROPDOWN </w:instrText>
      </w:r>
      <w:r>
        <w:rPr>
          <w:sz w:val="24"/>
          <w:szCs w:val="28"/>
        </w:rPr>
        <w:fldChar w:fldCharType="separate"/>
      </w:r>
      <w:r>
        <w:rPr>
          <w:sz w:val="24"/>
          <w:szCs w:val="28"/>
        </w:rPr>
        <w:fldChar w:fldCharType="end"/>
      </w:r>
      <w:bookmarkEnd w:id="12"/>
    </w:p>
    <w:p>
      <w:pPr>
        <w:pStyle w:val="125"/>
        <w:framePr w:w="9639" w:h="6974" w:hRule="exact" w:wrap="around" w:vAnchor="page" w:hAnchor="page" w:x="1419" w:y="6408" w:anchorLock="1"/>
        <w:spacing w:before="180" w:line="240" w:lineRule="atLeast"/>
        <w:textAlignment w:val="bottom"/>
        <w:rPr>
          <w:sz w:val="21"/>
          <w:szCs w:val="28"/>
        </w:rPr>
      </w:pPr>
      <w:r>
        <w:rPr>
          <w:sz w:val="21"/>
          <w:szCs w:val="28"/>
        </w:rPr>
        <w:fldChar w:fldCharType="begin">
          <w:ffData>
            <w:name w:val="CMPLSH_DATE"/>
            <w:enabled/>
            <w:calcOnExit w:val="0"/>
            <w:textInput/>
          </w:ffData>
        </w:fldChar>
      </w:r>
      <w:bookmarkStart w:id="13" w:name="CMPLSH_DATE"/>
      <w:r>
        <w:rPr>
          <w:sz w:val="21"/>
          <w:szCs w:val="28"/>
        </w:rPr>
        <w:instrText xml:space="preserve"> FORMTEXT </w:instrText>
      </w:r>
      <w:r>
        <w:rPr>
          <w:sz w:val="21"/>
          <w:szCs w:val="28"/>
        </w:rPr>
        <w:fldChar w:fldCharType="separate"/>
      </w:r>
      <w:r>
        <w:rPr>
          <w:rFonts w:hint="eastAsia"/>
          <w:sz w:val="21"/>
          <w:szCs w:val="28"/>
        </w:rPr>
        <w:t>（本草案完成时间：202</w:t>
      </w:r>
      <w:r>
        <w:rPr>
          <w:rFonts w:hint="eastAsia"/>
          <w:sz w:val="21"/>
          <w:szCs w:val="28"/>
          <w:lang w:val="en-US" w:eastAsia="zh-CN"/>
        </w:rPr>
        <w:t>5</w:t>
      </w:r>
      <w:r>
        <w:rPr>
          <w:rFonts w:hint="eastAsia"/>
          <w:sz w:val="21"/>
          <w:szCs w:val="28"/>
        </w:rPr>
        <w:t>年</w:t>
      </w:r>
      <w:r>
        <w:rPr>
          <w:rFonts w:hint="eastAsia"/>
          <w:sz w:val="21"/>
          <w:szCs w:val="28"/>
          <w:lang w:val="en-US" w:eastAsia="zh-CN"/>
        </w:rPr>
        <w:t>12</w:t>
      </w:r>
      <w:r>
        <w:rPr>
          <w:rFonts w:hint="eastAsia"/>
          <w:sz w:val="21"/>
          <w:szCs w:val="28"/>
        </w:rPr>
        <w:t>月</w:t>
      </w:r>
      <w:r>
        <w:rPr>
          <w:rFonts w:hint="eastAsia"/>
          <w:sz w:val="21"/>
          <w:szCs w:val="28"/>
          <w:lang w:val="en-US" w:eastAsia="zh-CN"/>
        </w:rPr>
        <w:t>8</w:t>
      </w:r>
      <w:bookmarkStart w:id="46" w:name="_GoBack"/>
      <w:bookmarkEnd w:id="46"/>
      <w:r>
        <w:rPr>
          <w:rFonts w:hint="eastAsia"/>
          <w:sz w:val="21"/>
          <w:szCs w:val="28"/>
        </w:rPr>
        <w:t>日）</w:t>
      </w:r>
      <w:r>
        <w:rPr>
          <w:sz w:val="21"/>
          <w:szCs w:val="28"/>
        </w:rPr>
        <w:fldChar w:fldCharType="end"/>
      </w:r>
      <w:bookmarkEnd w:id="13"/>
    </w:p>
    <w:p>
      <w:pPr>
        <w:pStyle w:val="125"/>
        <w:framePr w:w="9639" w:h="6974" w:hRule="exact" w:wrap="around" w:vAnchor="page" w:hAnchor="page" w:x="1419" w:y="6408" w:anchorLock="1"/>
        <w:spacing w:before="720" w:beforeLines="300" w:after="72" w:afterLines="30" w:line="240" w:lineRule="auto"/>
        <w:textAlignment w:val="bottom"/>
        <w:rPr>
          <w:b/>
          <w:sz w:val="21"/>
          <w:szCs w:val="28"/>
        </w:rPr>
      </w:pPr>
      <w:r>
        <w:rPr>
          <w:b/>
          <w:sz w:val="21"/>
          <w:szCs w:val="28"/>
        </w:rPr>
        <w:fldChar w:fldCharType="begin">
          <w:ffData>
            <w:name w:val="下拉2"/>
            <w:enabled/>
            <w:calcOnExit w:val="0"/>
            <w:ddList>
              <w:result w:val="1"/>
              <w:listEntry w:val=" "/>
              <w:listEntry w:val="在提交反馈意见时，请将您知道的相关专利连同支持性文件一并附上。"/>
            </w:ddList>
          </w:ffData>
        </w:fldChar>
      </w:r>
      <w:bookmarkStart w:id="14" w:name="下拉2"/>
      <w:r>
        <w:rPr>
          <w:b/>
          <w:sz w:val="21"/>
          <w:szCs w:val="28"/>
        </w:rPr>
        <w:instrText xml:space="preserve"> FORMDROPDOWN </w:instrText>
      </w:r>
      <w:r>
        <w:rPr>
          <w:b/>
          <w:sz w:val="21"/>
          <w:szCs w:val="28"/>
        </w:rPr>
        <w:fldChar w:fldCharType="separate"/>
      </w:r>
      <w:r>
        <w:rPr>
          <w:b/>
          <w:sz w:val="21"/>
          <w:szCs w:val="28"/>
        </w:rPr>
        <w:fldChar w:fldCharType="end"/>
      </w:r>
      <w:bookmarkEnd w:id="14"/>
    </w:p>
    <w:p>
      <w:pPr>
        <w:pStyle w:val="193"/>
        <w:framePr w:y="14176"/>
      </w:pPr>
      <w:r>
        <w:rPr>
          <w:rFonts w:ascii="黑体"/>
        </w:rPr>
        <w:fldChar w:fldCharType="begin">
          <w:ffData>
            <w:name w:val="PLSH_DATE_Y"/>
            <w:enabled/>
            <w:calcOnExit w:val="0"/>
            <w:textInput>
              <w:default w:val="XXXX"/>
              <w:maxLength w:val="4"/>
            </w:textInput>
          </w:ffData>
        </w:fldChar>
      </w:r>
      <w:bookmarkStart w:id="15" w:name="PLSH_DATE_Y"/>
      <w:r>
        <w:rPr>
          <w:rFonts w:ascii="黑体"/>
        </w:rPr>
        <w:instrText xml:space="preserve"> FORMTEXT </w:instrText>
      </w:r>
      <w:r>
        <w:rPr>
          <w:rFonts w:ascii="黑体"/>
        </w:rPr>
        <w:fldChar w:fldCharType="separate"/>
      </w:r>
      <w:r>
        <w:rPr>
          <w:rFonts w:ascii="黑体"/>
        </w:rPr>
        <w:t>XXXX</w:t>
      </w:r>
      <w:r>
        <w:rPr>
          <w:rFonts w:ascii="黑体"/>
        </w:rPr>
        <w:fldChar w:fldCharType="end"/>
      </w:r>
      <w:bookmarkEnd w:id="15"/>
      <w:r>
        <w:t xml:space="preserve"> </w:t>
      </w:r>
      <w:r>
        <w:rPr>
          <w:rFonts w:ascii="黑体"/>
        </w:rPr>
        <w:t>-</w:t>
      </w:r>
      <w:r>
        <w:t xml:space="preserve"> </w:t>
      </w:r>
      <w:r>
        <w:rPr>
          <w:rFonts w:ascii="黑体"/>
        </w:rPr>
        <w:fldChar w:fldCharType="begin">
          <w:ffData>
            <w:name w:val="PLSH_DATE_M"/>
            <w:enabled/>
            <w:calcOnExit w:val="0"/>
            <w:textInput>
              <w:default w:val="XX"/>
              <w:maxLength w:val="2"/>
            </w:textInput>
          </w:ffData>
        </w:fldChar>
      </w:r>
      <w:bookmarkStart w:id="16" w:name="PLSH_DATE_M"/>
      <w:r>
        <w:rPr>
          <w:rFonts w:ascii="黑体"/>
        </w:rPr>
        <w:instrText xml:space="preserve"> FORMTEXT </w:instrText>
      </w:r>
      <w:r>
        <w:rPr>
          <w:rFonts w:ascii="黑体"/>
        </w:rPr>
        <w:fldChar w:fldCharType="separate"/>
      </w:r>
      <w:r>
        <w:rPr>
          <w:rFonts w:ascii="黑体"/>
        </w:rPr>
        <w:t>XX</w:t>
      </w:r>
      <w:r>
        <w:rPr>
          <w:rFonts w:ascii="黑体"/>
        </w:rPr>
        <w:fldChar w:fldCharType="end"/>
      </w:r>
      <w:bookmarkEnd w:id="16"/>
      <w:r>
        <w:t xml:space="preserve"> </w:t>
      </w:r>
      <w:r>
        <w:rPr>
          <w:rFonts w:ascii="黑体"/>
        </w:rPr>
        <w:t>-</w:t>
      </w:r>
      <w:r>
        <w:t xml:space="preserve"> </w:t>
      </w:r>
      <w:r>
        <w:rPr>
          <w:rFonts w:ascii="黑体"/>
        </w:rPr>
        <w:fldChar w:fldCharType="begin">
          <w:ffData>
            <w:name w:val="PLSH_DATE_D"/>
            <w:enabled/>
            <w:calcOnExit w:val="0"/>
            <w:textInput>
              <w:default w:val="XX"/>
              <w:maxLength w:val="2"/>
            </w:textInput>
          </w:ffData>
        </w:fldChar>
      </w:r>
      <w:bookmarkStart w:id="17" w:name="PLSH_DATE_D"/>
      <w:r>
        <w:rPr>
          <w:rFonts w:ascii="黑体"/>
        </w:rPr>
        <w:instrText xml:space="preserve"> FORMTEXT </w:instrText>
      </w:r>
      <w:r>
        <w:rPr>
          <w:rFonts w:ascii="黑体"/>
        </w:rPr>
        <w:fldChar w:fldCharType="separate"/>
      </w:r>
      <w:r>
        <w:rPr>
          <w:rFonts w:ascii="黑体"/>
        </w:rPr>
        <w:t>XX</w:t>
      </w:r>
      <w:r>
        <w:rPr>
          <w:rFonts w:ascii="黑体"/>
        </w:rPr>
        <w:fldChar w:fldCharType="end"/>
      </w:r>
      <w:bookmarkEnd w:id="17"/>
      <w:r>
        <w:rPr>
          <w:rFonts w:hint="eastAsia"/>
        </w:rPr>
        <w:t>发布</w:t>
      </w:r>
    </w:p>
    <w:p>
      <w:pPr>
        <w:pStyle w:val="194"/>
        <w:framePr w:y="14176"/>
      </w:pPr>
      <w:r>
        <w:rPr>
          <w:rFonts w:ascii="黑体"/>
        </w:rPr>
        <w:fldChar w:fldCharType="begin">
          <w:ffData>
            <w:name w:val="CROT_DATE_Y"/>
            <w:enabled/>
            <w:calcOnExit w:val="0"/>
            <w:textInput>
              <w:default w:val="XXXX"/>
              <w:maxLength w:val="4"/>
            </w:textInput>
          </w:ffData>
        </w:fldChar>
      </w:r>
      <w:bookmarkStart w:id="18" w:name="CROT_DATE_Y"/>
      <w:r>
        <w:rPr>
          <w:rFonts w:ascii="黑体"/>
        </w:rPr>
        <w:instrText xml:space="preserve"> FORMTEXT </w:instrText>
      </w:r>
      <w:r>
        <w:rPr>
          <w:rFonts w:ascii="黑体"/>
        </w:rPr>
        <w:fldChar w:fldCharType="separate"/>
      </w:r>
      <w:r>
        <w:rPr>
          <w:rFonts w:ascii="黑体"/>
        </w:rPr>
        <w:t>XXXX</w:t>
      </w:r>
      <w:r>
        <w:rPr>
          <w:rFonts w:ascii="黑体"/>
        </w:rPr>
        <w:fldChar w:fldCharType="end"/>
      </w:r>
      <w:bookmarkEnd w:id="18"/>
      <w:r>
        <w:t xml:space="preserve"> </w:t>
      </w:r>
      <w:r>
        <w:rPr>
          <w:rFonts w:ascii="黑体"/>
        </w:rPr>
        <w:t>-</w:t>
      </w:r>
      <w:r>
        <w:t xml:space="preserve"> </w:t>
      </w:r>
      <w:r>
        <w:rPr>
          <w:rFonts w:ascii="黑体"/>
        </w:rPr>
        <w:fldChar w:fldCharType="begin">
          <w:ffData>
            <w:name w:val="CROT_DATE_M"/>
            <w:enabled/>
            <w:calcOnExit w:val="0"/>
            <w:textInput>
              <w:default w:val="XX"/>
              <w:maxLength w:val="2"/>
            </w:textInput>
          </w:ffData>
        </w:fldChar>
      </w:r>
      <w:bookmarkStart w:id="19" w:name="CROT_DATE_M"/>
      <w:r>
        <w:rPr>
          <w:rFonts w:ascii="黑体"/>
        </w:rPr>
        <w:instrText xml:space="preserve"> FORMTEXT </w:instrText>
      </w:r>
      <w:r>
        <w:rPr>
          <w:rFonts w:ascii="黑体"/>
        </w:rPr>
        <w:fldChar w:fldCharType="separate"/>
      </w:r>
      <w:r>
        <w:rPr>
          <w:rFonts w:ascii="黑体"/>
        </w:rPr>
        <w:t>XX</w:t>
      </w:r>
      <w:r>
        <w:rPr>
          <w:rFonts w:ascii="黑体"/>
        </w:rPr>
        <w:fldChar w:fldCharType="end"/>
      </w:r>
      <w:bookmarkEnd w:id="19"/>
      <w:r>
        <w:t xml:space="preserve"> </w:t>
      </w:r>
      <w:r>
        <w:rPr>
          <w:rFonts w:ascii="黑体"/>
        </w:rPr>
        <w:t>-</w:t>
      </w:r>
      <w:r>
        <w:t xml:space="preserve"> </w:t>
      </w:r>
      <w:r>
        <w:rPr>
          <w:rFonts w:ascii="黑体"/>
        </w:rPr>
        <w:fldChar w:fldCharType="begin">
          <w:ffData>
            <w:name w:val="CROT_DATE_D"/>
            <w:enabled/>
            <w:calcOnExit w:val="0"/>
            <w:textInput>
              <w:default w:val="XX"/>
              <w:maxLength w:val="2"/>
            </w:textInput>
          </w:ffData>
        </w:fldChar>
      </w:r>
      <w:bookmarkStart w:id="20" w:name="CROT_DATE_D"/>
      <w:r>
        <w:rPr>
          <w:rFonts w:ascii="黑体"/>
        </w:rPr>
        <w:instrText xml:space="preserve"> FORMTEXT </w:instrText>
      </w:r>
      <w:r>
        <w:rPr>
          <w:rFonts w:ascii="黑体"/>
        </w:rPr>
        <w:fldChar w:fldCharType="separate"/>
      </w:r>
      <w:r>
        <w:rPr>
          <w:rFonts w:ascii="黑体"/>
        </w:rPr>
        <w:t>XX</w:t>
      </w:r>
      <w:r>
        <w:rPr>
          <w:rFonts w:ascii="黑体"/>
        </w:rPr>
        <w:fldChar w:fldCharType="end"/>
      </w:r>
      <w:bookmarkEnd w:id="20"/>
      <w:r>
        <w:rPr>
          <w:rFonts w:hint="eastAsia"/>
        </w:rPr>
        <w:t>实施</w:t>
      </w:r>
    </w:p>
    <w:p>
      <w:pPr>
        <w:pStyle w:val="151"/>
        <w:framePr w:h="584" w:hRule="exact" w:hSpace="181" w:vSpace="181" w:y="14800"/>
        <w:rPr>
          <w:rFonts w:hint="eastAsia" w:hAnsi="黑体"/>
        </w:rPr>
      </w:pPr>
      <w:r>
        <w:rPr>
          <w:rFonts w:hAnsi="黑体"/>
          <w:w w:val="100"/>
          <w:sz w:val="28"/>
        </w:rPr>
        <w:fldChar w:fldCharType="begin">
          <w:ffData>
            <w:name w:val="fm"/>
            <w:enabled/>
            <w:calcOnExit w:val="0"/>
            <w:textInput/>
          </w:ffData>
        </w:fldChar>
      </w:r>
      <w:bookmarkStart w:id="21" w:name="fm"/>
      <w:r>
        <w:rPr>
          <w:rFonts w:hAnsi="黑体"/>
          <w:w w:val="100"/>
          <w:sz w:val="28"/>
        </w:rPr>
        <w:instrText xml:space="preserve"> FORMTEXT </w:instrText>
      </w:r>
      <w:r>
        <w:rPr>
          <w:rFonts w:hAnsi="黑体"/>
          <w:w w:val="100"/>
          <w:sz w:val="28"/>
        </w:rPr>
        <w:fldChar w:fldCharType="separate"/>
      </w:r>
      <w:r>
        <w:rPr>
          <w:rFonts w:hAnsi="黑体"/>
          <w:w w:val="100"/>
          <w:sz w:val="28"/>
        </w:rPr>
        <w:t>     </w:t>
      </w:r>
      <w:r>
        <w:rPr>
          <w:rFonts w:hAnsi="黑体"/>
          <w:w w:val="100"/>
          <w:sz w:val="28"/>
        </w:rPr>
        <w:fldChar w:fldCharType="end"/>
      </w:r>
      <w:bookmarkEnd w:id="21"/>
      <w:r>
        <w:rPr>
          <w:rFonts w:ascii="Times New Roman"/>
          <w:w w:val="100"/>
          <w:sz w:val="28"/>
          <w:szCs w:val="28"/>
        </w:rPr>
        <w:t>  </w:t>
      </w:r>
      <w:r>
        <w:rPr>
          <w:rStyle w:val="229"/>
          <w:rFonts w:hint="eastAsia" w:hAnsi="黑体"/>
          <w:position w:val="0"/>
        </w:rPr>
        <w:t>发</w:t>
      </w:r>
      <w:r>
        <w:rPr>
          <w:rStyle w:val="229"/>
          <w:rFonts w:hint="eastAsia" w:hAnsi="黑体"/>
          <w:spacing w:val="0"/>
          <w:position w:val="0"/>
        </w:rPr>
        <w:t>布</w:t>
      </w:r>
    </w:p>
    <w:p>
      <w:pPr>
        <w:rPr>
          <w:rFonts w:hint="eastAsia" w:ascii="宋体" w:hAnsi="宋体"/>
          <w:sz w:val="28"/>
          <w:szCs w:val="28"/>
        </w:rPr>
        <w:sectPr>
          <w:headerReference r:id="rId7" w:type="first"/>
          <w:footerReference r:id="rId10" w:type="first"/>
          <w:headerReference r:id="rId5" w:type="default"/>
          <w:footerReference r:id="rId8" w:type="default"/>
          <w:headerReference r:id="rId6" w:type="even"/>
          <w:footerReference r:id="rId9" w:type="even"/>
          <w:type w:val="continuous"/>
          <w:pgSz w:w="11906" w:h="16838"/>
          <w:pgMar w:top="567" w:right="1134" w:bottom="1021" w:left="1134" w:header="1418" w:footer="1134" w:gutter="284"/>
          <w:cols w:space="425" w:num="1"/>
          <w:titlePg/>
          <w:docGrid w:linePitch="312" w:charSpace="0"/>
        </w:sectPr>
      </w:pPr>
      <w:r>
        <w:rPr>
          <w:rFonts w:hint="eastAsia" w:ascii="宋体" w:hAnsi="宋体"/>
          <w:sz w:val="28"/>
          <w:szCs w:val="28"/>
        </w:rPr>
        <mc:AlternateContent>
          <mc:Choice Requires="wps">
            <w:drawing>
              <wp:anchor distT="0" distB="0" distL="114300" distR="114300" simplePos="0" relativeHeight="251660288" behindDoc="0" locked="1" layoutInCell="1" allowOverlap="1">
                <wp:simplePos x="0" y="0"/>
                <wp:positionH relativeFrom="page">
                  <wp:posOffset>899795</wp:posOffset>
                </wp:positionH>
                <wp:positionV relativeFrom="page">
                  <wp:posOffset>9253220</wp:posOffset>
                </wp:positionV>
                <wp:extent cx="6120130" cy="0"/>
                <wp:effectExtent l="0" t="0" r="0" b="0"/>
                <wp:wrapNone/>
                <wp:docPr id="5" name="直接连接符 5"/>
                <wp:cNvGraphicFramePr/>
                <a:graphic xmlns:a="http://schemas.openxmlformats.org/drawingml/2006/main">
                  <a:graphicData uri="http://schemas.microsoft.com/office/word/2010/wordprocessingShape">
                    <wps:wsp>
                      <wps:cNvCnPr>
                        <a:cxnSpLocks noChangeShapeType="true"/>
                      </wps:cNvCnPr>
                      <wps:spPr bwMode="auto">
                        <a:xfrm>
                          <a:off x="0" y="0"/>
                          <a:ext cx="6120000" cy="0"/>
                        </a:xfrm>
                        <a:prstGeom prst="line">
                          <a:avLst/>
                        </a:prstGeom>
                        <a:noFill/>
                        <a:ln w="9525">
                          <a:solidFill>
                            <a:srgbClr val="000000"/>
                          </a:solidFill>
                          <a:round/>
                        </a:ln>
                      </wps:spPr>
                      <wps:bodyPr/>
                    </wps:wsp>
                  </a:graphicData>
                </a:graphic>
              </wp:anchor>
            </w:drawing>
          </mc:Choice>
          <mc:Fallback>
            <w:pict>
              <v:line id="_x0000_s1026" o:spid="_x0000_s1026" o:spt="20" style="position:absolute;left:0pt;margin-left:70.85pt;margin-top:728.6pt;height:0pt;width:481.9pt;mso-position-horizontal-relative:page;mso-position-vertical-relative:page;z-index:251660288;mso-width-relative:page;mso-height-relative:page;" filled="f" stroked="t" coordsize="21600,21600" o:gfxdata="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">
                <v:fill on="f" focussize="0,0"/>
                <v:stroke color="#000000" joinstyle="round"/>
                <v:imagedata o:title=""/>
                <o:lock v:ext="edit" aspectratio="f"/>
                <w10:anchorlock/>
              </v:line>
            </w:pict>
          </mc:Fallback>
        </mc:AlternateContent>
      </w:r>
    </w:p>
    <w:p>
      <w:pPr>
        <w:spacing w:line="20" w:lineRule="exact"/>
        <w:jc w:val="center"/>
        <w:rPr>
          <w:rFonts w:hint="eastAsia" w:ascii="黑体" w:hAnsi="黑体" w:eastAsia="黑体"/>
          <w:sz w:val="32"/>
          <w:szCs w:val="32"/>
        </w:rPr>
      </w:pPr>
      <w:bookmarkStart w:id="22" w:name="BookMark4"/>
    </w:p>
    <w:p>
      <w:pPr>
        <w:spacing w:line="20" w:lineRule="exact"/>
        <w:jc w:val="center"/>
        <w:rPr>
          <w:rFonts w:hint="eastAsia" w:ascii="黑体" w:hAnsi="黑体" w:eastAsia="黑体"/>
          <w:sz w:val="32"/>
          <w:szCs w:val="32"/>
        </w:rPr>
      </w:pPr>
    </w:p>
    <w:sdt>
      <w:sdtPr>
        <w:tag w:val="NEW_STAND_NAME"/>
        <w:id w:val="595910757"/>
        <w:lock w:val="sdtLocked"/>
        <w:placeholder>
          <w:docPart w:val="20A7049C52FD444E8D12D32C7D34EBB0"/>
        </w:placeholder>
      </w:sdtPr>
      <w:sdtContent>
        <w:p>
          <w:pPr>
            <w:pStyle w:val="177"/>
            <w:spacing w:before="2" w:beforeLines="1" w:after="528" w:afterLines="220"/>
            <w:rPr>
              <w:rFonts w:hint="eastAsia"/>
            </w:rPr>
          </w:pPr>
          <w:bookmarkStart w:id="23" w:name="NEW_STAND_NAME"/>
          <w:r>
            <w:rPr>
              <w:rFonts w:hint="eastAsia"/>
            </w:rPr>
            <w:t>经营者反垄断合规管理体系 评价规范</w:t>
          </w:r>
        </w:p>
      </w:sdtContent>
    </w:sdt>
    <w:bookmarkEnd w:id="23"/>
    <w:p>
      <w:pPr>
        <w:pStyle w:val="104"/>
        <w:spacing w:before="240" w:after="240"/>
      </w:pPr>
      <w:bookmarkStart w:id="24" w:name="_Toc17233333"/>
      <w:bookmarkStart w:id="25" w:name="_Toc26986771"/>
      <w:bookmarkStart w:id="26" w:name="_Toc24884218"/>
      <w:bookmarkStart w:id="27" w:name="_Toc17233325"/>
      <w:bookmarkStart w:id="28" w:name="_Toc97195091"/>
      <w:bookmarkStart w:id="29" w:name="_Toc26718930"/>
      <w:bookmarkStart w:id="30" w:name="_Toc24884211"/>
      <w:bookmarkStart w:id="31" w:name="_Toc26648465"/>
      <w:bookmarkStart w:id="32" w:name="_Toc26986530"/>
      <w:r>
        <w:rPr>
          <w:rFonts w:hint="eastAsia"/>
        </w:rPr>
        <w:t>范围</w:t>
      </w:r>
      <w:bookmarkEnd w:id="24"/>
      <w:bookmarkEnd w:id="25"/>
      <w:bookmarkEnd w:id="26"/>
      <w:bookmarkEnd w:id="27"/>
      <w:bookmarkEnd w:id="28"/>
      <w:bookmarkEnd w:id="29"/>
      <w:bookmarkEnd w:id="30"/>
      <w:bookmarkEnd w:id="31"/>
      <w:bookmarkEnd w:id="32"/>
    </w:p>
    <w:p>
      <w:pPr>
        <w:pStyle w:val="56"/>
        <w:ind w:firstLine="420"/>
        <w:rPr>
          <w:rFonts w:hint="eastAsia"/>
        </w:rPr>
      </w:pPr>
      <w:bookmarkStart w:id="33" w:name="_Toc17233326"/>
      <w:bookmarkStart w:id="34" w:name="_Toc24884219"/>
      <w:bookmarkStart w:id="35" w:name="_Toc17233334"/>
      <w:bookmarkStart w:id="36" w:name="_Toc24884212"/>
      <w:bookmarkStart w:id="37" w:name="_Toc26648466"/>
      <w:r>
        <w:rPr>
          <w:rFonts w:hint="eastAsia"/>
        </w:rPr>
        <w:t>本标准主要规定经营者反垄断合规评价的评价原则、评价内容、评价流程和评价结果。</w:t>
      </w:r>
    </w:p>
    <w:p>
      <w:pPr>
        <w:pStyle w:val="56"/>
        <w:ind w:firstLine="420"/>
      </w:pPr>
      <w:r>
        <w:rPr>
          <w:rFonts w:hint="eastAsia"/>
        </w:rPr>
        <w:t>本标准适用于经营者反垄断合规符合性的第三方评价，相关企业也可以依据本文件进行自我评价。</w:t>
      </w:r>
    </w:p>
    <w:p>
      <w:pPr>
        <w:pStyle w:val="104"/>
        <w:spacing w:before="240" w:after="240"/>
      </w:pPr>
      <w:bookmarkStart w:id="38" w:name="_Toc26986531"/>
      <w:bookmarkStart w:id="39" w:name="_Toc26718931"/>
      <w:bookmarkStart w:id="40" w:name="_Toc26986772"/>
      <w:bookmarkStart w:id="41" w:name="_Toc97195092"/>
      <w:r>
        <w:rPr>
          <w:rFonts w:hint="eastAsia"/>
        </w:rPr>
        <w:t>规范性引用文件</w:t>
      </w:r>
      <w:bookmarkEnd w:id="33"/>
      <w:bookmarkEnd w:id="34"/>
      <w:bookmarkEnd w:id="35"/>
      <w:bookmarkEnd w:id="36"/>
      <w:bookmarkEnd w:id="37"/>
      <w:bookmarkEnd w:id="38"/>
      <w:bookmarkEnd w:id="39"/>
      <w:bookmarkEnd w:id="40"/>
      <w:bookmarkEnd w:id="41"/>
    </w:p>
    <w:sdt>
      <w:sdtPr>
        <w:rPr>
          <w:rFonts w:hint="eastAsia"/>
        </w:rPr>
        <w:id w:val="715848253"/>
        <w:placeholder>
          <w:docPart w:val="F1579640566044BCAD87B061B868BBD9"/>
        </w:placeholder>
        <w:dropDownList>
          <w:listItem w:displayText="下列文件中的内容通过文中的规范性引用而构成本文件必不可少的条款。其中，注日期的引用文件，仅该日期对应的版本适用于本文件；不注日期的引用文件，其最新版本（包括所有的修改单）适用于本文件。" w:value="下列文件中的内容通过文中的规范性引用而构成本文件必不可少的条款。其中，注日期的引用文件，仅该日期对应的版本适用于本文件；不注日期的引用文件，其最新版本（包括所有的修改单）适用于本文件。"/>
          <w:listItem w:displayText="本文件没有规范性引用文件。" w:value="本文件没有规范性引用文件。"/>
        </w:dropDownList>
      </w:sdtPr>
      <w:sdtEndPr>
        <w:rPr>
          <w:rFonts w:hint="eastAsia"/>
        </w:rPr>
      </w:sdtEndPr>
      <w:sdtContent>
        <w:p>
          <w:pPr>
            <w:pStyle w:val="56"/>
            <w:ind w:firstLine="420"/>
          </w:pPr>
          <w:r>
            <w:rPr>
              <w:rFonts w:hint="eastAsia"/>
            </w:rPr>
            <w:t>下列文件中的内容通过文中的规范性引用而构成本文件必不可少的条款。其中，注日期的引用文件，仅该日期对应的版本适用于本文件；不注日期的引用文件，其最新版本（包括所有的修改单）适用于本文件。</w:t>
          </w:r>
        </w:p>
      </w:sdtContent>
    </w:sdt>
    <w:p>
      <w:pPr>
        <w:pStyle w:val="56"/>
        <w:ind w:firstLine="420"/>
        <w:rPr>
          <w:rFonts w:hint="eastAsia"/>
        </w:rPr>
      </w:pPr>
      <w:r>
        <w:rPr>
          <w:rFonts w:hint="eastAsia"/>
        </w:rPr>
        <w:t>GB/T 35770 合规管理体系 要求及使用指南</w:t>
      </w:r>
    </w:p>
    <w:p>
      <w:pPr>
        <w:pStyle w:val="56"/>
        <w:ind w:firstLine="420"/>
        <w:rPr>
          <w:rFonts w:hint="eastAsia"/>
        </w:rPr>
      </w:pPr>
      <w:r>
        <w:rPr>
          <w:rFonts w:hint="eastAsia"/>
          <w:lang w:val="en-US" w:eastAsia="zh-CN"/>
        </w:rPr>
        <w:t>GB/T 45205 经营者公平竞争合规管理规范</w:t>
      </w:r>
    </w:p>
    <w:p>
      <w:pPr>
        <w:pStyle w:val="104"/>
        <w:spacing w:before="240" w:after="240"/>
      </w:pPr>
      <w:bookmarkStart w:id="42" w:name="_Toc97195093"/>
      <w:r>
        <w:rPr>
          <w:rFonts w:hint="eastAsia"/>
          <w:szCs w:val="21"/>
        </w:rPr>
        <w:t>术语和定义</w:t>
      </w:r>
      <w:bookmarkEnd w:id="42"/>
    </w:p>
    <w:sdt>
      <w:sdtPr>
        <w:id w:val="-1"/>
        <w:placeholder>
          <w:docPart w:val="234482D485BC40978A186E11A77FAC77"/>
        </w:placeholder>
        <w:comboBox>
          <w:listItem w:displayText="请选择适当的引导语" w:value="请选择适当的引导语"/>
          <w:listItem w:displayText="下列术语和定义适用于本文件。" w:value="下列术语和定义适用于本文件。"/>
          <w:listItem w:displayText="……界定的术语和定义适用于本文件。" w:value="……界定的术语和定义适用于本文件。"/>
          <w:listItem w:displayText="……界定的以及下列术语和定义适用于本文件。" w:value="……界定的以及下列术语和定义适用于本文件。"/>
          <w:listItem w:displayText="本文件没有需要界定的术语和定义。" w:value="本文件没有需要界定的术语和定义。"/>
        </w:comboBox>
      </w:sdtPr>
      <w:sdtContent>
        <w:p>
          <w:pPr>
            <w:pStyle w:val="56"/>
            <w:ind w:firstLine="420"/>
          </w:pPr>
          <w:bookmarkStart w:id="43" w:name="_Toc26986532"/>
          <w:bookmarkEnd w:id="43"/>
          <w:r>
            <w:t>下列术语和定义适用于本文件。</w:t>
          </w:r>
        </w:p>
      </w:sdtContent>
    </w:sdt>
    <w:p>
      <w:pPr>
        <w:pStyle w:val="223"/>
        <w:ind w:left="420" w:hanging="420" w:hangingChars="200"/>
        <w:rPr>
          <w:rFonts w:ascii="黑体" w:hAnsi="黑体" w:eastAsia="黑体"/>
        </w:rPr>
      </w:pPr>
      <w:r>
        <w:rPr>
          <w:rFonts w:ascii="黑体" w:hAnsi="黑体" w:eastAsia="黑体"/>
        </w:rPr>
        <w:br w:type="textWrapping"/>
      </w:r>
      <w:r>
        <w:rPr>
          <w:rFonts w:hint="eastAsia" w:ascii="黑体" w:hAnsi="黑体" w:eastAsia="黑体"/>
        </w:rPr>
        <w:t xml:space="preserve">反垄断合规管理评价 </w:t>
      </w:r>
      <w:r>
        <w:rPr>
          <w:rFonts w:ascii="黑体" w:hAnsi="黑体" w:eastAsia="黑体"/>
        </w:rPr>
        <w:t xml:space="preserve">Antitrust compliance </w:t>
      </w:r>
      <w:r>
        <w:rPr>
          <w:rFonts w:hint="eastAsia" w:ascii="黑体" w:hAnsi="黑体" w:eastAsia="黑体"/>
        </w:rPr>
        <w:t xml:space="preserve">management </w:t>
      </w:r>
      <w:r>
        <w:rPr>
          <w:rFonts w:ascii="黑体" w:hAnsi="黑体" w:eastAsia="黑体"/>
        </w:rPr>
        <w:t>evaluation</w:t>
      </w:r>
    </w:p>
    <w:p>
      <w:pPr>
        <w:pStyle w:val="56"/>
        <w:ind w:firstLine="420"/>
        <w:rPr>
          <w:rFonts w:hint="eastAsia"/>
        </w:rPr>
      </w:pPr>
      <w:r>
        <w:rPr>
          <w:rFonts w:hint="eastAsia"/>
        </w:rPr>
        <w:t>经营者在反垄断合规管理体系建立后，对反垄断合规管理体系的适宜性、充分性和有效性进行评价的过程。</w:t>
      </w:r>
    </w:p>
    <w:p>
      <w:pPr>
        <w:pStyle w:val="180"/>
      </w:pPr>
      <w:r>
        <w:rPr>
          <w:rFonts w:hint="eastAsia"/>
        </w:rPr>
        <w:t>适应性，是指评价时反垄断合规体系的建设和运行情况是否与经营者内外部事项、相关方需求期望相匹配，以及能否适应经营者内外部事项、相关方需求期望的变化。</w:t>
      </w:r>
    </w:p>
    <w:p>
      <w:pPr>
        <w:pStyle w:val="180"/>
      </w:pPr>
      <w:r>
        <w:rPr>
          <w:rFonts w:hint="eastAsia"/>
        </w:rPr>
        <w:t>充分性，是指经营者反垄断合规方针、团队独立性、资源与支持、风险管理等工作制度落实程度是否充分。</w:t>
      </w:r>
    </w:p>
    <w:p>
      <w:pPr>
        <w:pStyle w:val="180"/>
      </w:pPr>
      <w:r>
        <w:rPr>
          <w:rFonts w:hint="eastAsia"/>
        </w:rPr>
        <w:t>有效性，是指经营者反垄断合规目标的达成度是否符合预期效果，以及反垄断合规运行机制、绩效考核机制、调查沟通和反馈投诉机制、报告机制等落实情况是否复合反垄断合规管理一般要求的预期效果。</w:t>
      </w:r>
    </w:p>
    <w:p>
      <w:pPr>
        <w:pStyle w:val="223"/>
        <w:ind w:left="420" w:hanging="420" w:hangingChars="200"/>
        <w:rPr>
          <w:rFonts w:ascii="黑体" w:hAnsi="黑体" w:eastAsia="黑体"/>
        </w:rPr>
      </w:pPr>
      <w:r>
        <w:rPr>
          <w:rFonts w:ascii="黑体" w:hAnsi="黑体" w:eastAsia="黑体"/>
        </w:rPr>
        <w:br w:type="textWrapping"/>
      </w:r>
      <w:r>
        <w:rPr>
          <w:rFonts w:hint="eastAsia" w:ascii="黑体" w:hAnsi="黑体" w:eastAsia="黑体"/>
        </w:rPr>
        <w:t xml:space="preserve">反垄断合规管理评价指标 </w:t>
      </w:r>
      <w:r>
        <w:rPr>
          <w:rFonts w:ascii="黑体" w:hAnsi="黑体" w:eastAsia="黑体"/>
        </w:rPr>
        <w:t>Antitrust compliance</w:t>
      </w:r>
      <w:r>
        <w:rPr>
          <w:rFonts w:hint="eastAsia" w:ascii="黑体" w:hAnsi="黑体" w:eastAsia="黑体"/>
        </w:rPr>
        <w:t xml:space="preserve"> management e</w:t>
      </w:r>
      <w:r>
        <w:rPr>
          <w:rFonts w:ascii="黑体" w:hAnsi="黑体" w:eastAsia="黑体"/>
        </w:rPr>
        <w:t>valuation indicators</w:t>
      </w:r>
    </w:p>
    <w:p>
      <w:pPr>
        <w:pStyle w:val="56"/>
        <w:ind w:firstLine="420"/>
      </w:pPr>
      <w:r>
        <w:rPr>
          <w:rFonts w:hint="eastAsia"/>
        </w:rPr>
        <w:t>经营者为评价其合规目标的实现情况并评估合规管理工作，而开发、实施和维护的指标体系。</w:t>
      </w:r>
    </w:p>
    <w:p>
      <w:pPr>
        <w:pStyle w:val="223"/>
        <w:ind w:left="420" w:hanging="420" w:hangingChars="200"/>
        <w:rPr>
          <w:rFonts w:ascii="黑体" w:hAnsi="黑体" w:eastAsia="黑体"/>
        </w:rPr>
      </w:pPr>
      <w:r>
        <w:rPr>
          <w:rFonts w:ascii="黑体" w:hAnsi="黑体" w:eastAsia="黑体"/>
        </w:rPr>
        <w:br w:type="textWrapping"/>
      </w:r>
      <w:r>
        <w:rPr>
          <w:rFonts w:hint="eastAsia" w:ascii="黑体" w:hAnsi="黑体" w:eastAsia="黑体"/>
        </w:rPr>
        <w:t xml:space="preserve">反垄断合规管理评价组织 </w:t>
      </w:r>
      <w:r>
        <w:rPr>
          <w:rFonts w:ascii="黑体" w:hAnsi="黑体" w:eastAsia="黑体"/>
        </w:rPr>
        <w:t>Antitrust compliance</w:t>
      </w:r>
      <w:r>
        <w:rPr>
          <w:rFonts w:hint="eastAsia" w:ascii="黑体" w:hAnsi="黑体" w:eastAsia="黑体"/>
        </w:rPr>
        <w:t xml:space="preserve"> management e</w:t>
      </w:r>
      <w:r>
        <w:rPr>
          <w:rFonts w:ascii="黑体" w:hAnsi="黑体" w:eastAsia="黑体"/>
        </w:rPr>
        <w:t>valuation</w:t>
      </w:r>
      <w:r>
        <w:rPr>
          <w:rFonts w:hint="eastAsia" w:ascii="黑体" w:hAnsi="黑体" w:eastAsia="黑体"/>
        </w:rPr>
        <w:t xml:space="preserve"> body</w:t>
      </w:r>
    </w:p>
    <w:p>
      <w:pPr>
        <w:pStyle w:val="56"/>
        <w:ind w:firstLine="420"/>
      </w:pPr>
      <w:r>
        <w:rPr>
          <w:rFonts w:hint="eastAsia"/>
        </w:rPr>
        <w:t>承担经营者反垄断合规评价职能的个人或机构。</w:t>
      </w:r>
    </w:p>
    <w:p>
      <w:pPr>
        <w:pStyle w:val="223"/>
        <w:ind w:left="420" w:hanging="420" w:hangingChars="200"/>
        <w:rPr>
          <w:rFonts w:ascii="黑体" w:hAnsi="黑体" w:eastAsia="黑体"/>
        </w:rPr>
      </w:pPr>
      <w:r>
        <w:rPr>
          <w:rFonts w:ascii="黑体" w:hAnsi="黑体" w:eastAsia="黑体"/>
        </w:rPr>
        <w:br w:type="textWrapping"/>
      </w:r>
      <w:r>
        <w:rPr>
          <w:rFonts w:hint="eastAsia" w:ascii="黑体" w:hAnsi="黑体" w:eastAsia="黑体"/>
        </w:rPr>
        <w:t>被评价对象 The evaluated object</w:t>
      </w:r>
    </w:p>
    <w:p>
      <w:pPr>
        <w:pStyle w:val="56"/>
        <w:ind w:firstLine="420"/>
        <w:rPr>
          <w:rFonts w:hint="eastAsia"/>
        </w:rPr>
      </w:pPr>
      <w:r>
        <w:rPr>
          <w:rFonts w:hint="eastAsia"/>
        </w:rPr>
        <w:t>作为反垄断合规管理评价对象的，负有反垄断合规管理义务的经营者或经营者的部分组成机构。</w:t>
      </w:r>
    </w:p>
    <w:p>
      <w:pPr>
        <w:pStyle w:val="104"/>
        <w:spacing w:before="240" w:after="240"/>
      </w:pPr>
      <w:r>
        <w:rPr>
          <w:rFonts w:hint="eastAsia"/>
        </w:rPr>
        <w:t>评价整体要求</w:t>
      </w:r>
    </w:p>
    <w:p>
      <w:pPr>
        <w:pStyle w:val="105"/>
        <w:spacing w:before="120" w:after="120"/>
      </w:pPr>
      <w:r>
        <w:rPr>
          <w:rFonts w:hint="eastAsia"/>
        </w:rPr>
        <w:t>中立</w:t>
      </w:r>
    </w:p>
    <w:p>
      <w:pPr>
        <w:pStyle w:val="65"/>
        <w:spacing w:before="120" w:after="120"/>
      </w:pPr>
      <w:r>
        <w:rPr>
          <w:rFonts w:hint="eastAsia"/>
        </w:rPr>
        <w:t>无利益关联</w:t>
      </w:r>
    </w:p>
    <w:p>
      <w:pPr>
        <w:pStyle w:val="56"/>
        <w:ind w:firstLine="420"/>
      </w:pPr>
      <w:r>
        <w:rPr>
          <w:rFonts w:hint="eastAsia"/>
        </w:rPr>
        <w:t>反垄断合规管理评价机构应与被评价企业或被评价的企业内部组织保持相对独立，不存在可以影响评价结果公正性的利益关系。</w:t>
      </w:r>
    </w:p>
    <w:p>
      <w:pPr>
        <w:pStyle w:val="65"/>
        <w:spacing w:before="120" w:after="120"/>
      </w:pPr>
      <w:r>
        <w:rPr>
          <w:rFonts w:hint="eastAsia"/>
        </w:rPr>
        <w:t>客观评价</w:t>
      </w:r>
    </w:p>
    <w:p>
      <w:pPr>
        <w:pStyle w:val="56"/>
        <w:ind w:firstLine="420"/>
      </w:pPr>
      <w:r>
        <w:rPr>
          <w:rFonts w:hint="eastAsia"/>
        </w:rPr>
        <w:t>反垄断合规管理评价机构应依据被评价企业提供的工作文件开展客观评价，不在已经提供的整局基础上进行任何延展性联想或推断。</w:t>
      </w:r>
    </w:p>
    <w:p>
      <w:pPr>
        <w:pStyle w:val="65"/>
        <w:spacing w:before="120" w:after="120"/>
      </w:pPr>
      <w:r>
        <w:rPr>
          <w:rFonts w:hint="eastAsia"/>
        </w:rPr>
        <w:t>不受干扰</w:t>
      </w:r>
    </w:p>
    <w:p>
      <w:pPr>
        <w:pStyle w:val="56"/>
        <w:ind w:firstLine="420"/>
      </w:pPr>
      <w:r>
        <w:rPr>
          <w:rFonts w:hint="eastAsia"/>
        </w:rPr>
        <w:t>反垄断合规管理评价机构开展评价时，严格依据法律法规以及规范性文件开展评价，不受被评价企业或部门（个人）的干涉。</w:t>
      </w:r>
    </w:p>
    <w:p>
      <w:pPr>
        <w:pStyle w:val="105"/>
        <w:spacing w:before="120" w:after="120"/>
      </w:pPr>
      <w:r>
        <w:rPr>
          <w:rFonts w:hint="eastAsia"/>
        </w:rPr>
        <w:t>全面</w:t>
      </w:r>
    </w:p>
    <w:p>
      <w:pPr>
        <w:pStyle w:val="56"/>
        <w:ind w:firstLine="420"/>
        <w:rPr>
          <w:rFonts w:hint="eastAsia"/>
        </w:rPr>
      </w:pPr>
      <w:r>
        <w:rPr>
          <w:rFonts w:hint="eastAsia"/>
        </w:rPr>
        <w:t>经营者反垄断合规管理评价的范围，应覆盖被评价企业反垄断合规管理体系的全员、全域、全过程，具体要求如下：</w:t>
      </w:r>
    </w:p>
    <w:p>
      <w:pPr>
        <w:pStyle w:val="132"/>
        <w:rPr>
          <w:rFonts w:hint="eastAsia"/>
        </w:rPr>
      </w:pPr>
      <w:r>
        <w:rPr>
          <w:rFonts w:hint="eastAsia"/>
        </w:rPr>
        <w:t>全员，应包括</w:t>
      </w:r>
      <w:r>
        <w:rPr>
          <w:rFonts w:hint="eastAsia"/>
          <w:lang w:val="en-US" w:eastAsia="zh-CN"/>
        </w:rPr>
        <w:t>最高管理者、</w:t>
      </w:r>
      <w:r>
        <w:rPr>
          <w:rFonts w:hint="eastAsia"/>
        </w:rPr>
        <w:t>合规治理机构</w:t>
      </w:r>
      <w:r>
        <w:rPr>
          <w:rFonts w:hint="eastAsia"/>
          <w:lang w:eastAsia="zh-CN"/>
        </w:rPr>
        <w:t>、</w:t>
      </w:r>
      <w:r>
        <w:rPr>
          <w:rFonts w:hint="eastAsia"/>
        </w:rPr>
        <w:t>合规管理负责人</w:t>
      </w:r>
      <w:r>
        <w:rPr>
          <w:rFonts w:hint="eastAsia"/>
          <w:lang w:eastAsia="zh-CN"/>
        </w:rPr>
        <w:t>、</w:t>
      </w:r>
      <w:r>
        <w:rPr>
          <w:rFonts w:hint="eastAsia"/>
        </w:rPr>
        <w:t>合规管理牵头部门</w:t>
      </w:r>
      <w:r>
        <w:rPr>
          <w:rFonts w:hint="eastAsia"/>
          <w:lang w:eastAsia="zh-CN"/>
        </w:rPr>
        <w:t>、</w:t>
      </w:r>
      <w:r>
        <w:rPr>
          <w:rFonts w:hint="eastAsia"/>
        </w:rPr>
        <w:t>业务及职能部门</w:t>
      </w:r>
      <w:r>
        <w:rPr>
          <w:rFonts w:hint="eastAsia"/>
          <w:lang w:val="en-US" w:eastAsia="zh-CN"/>
        </w:rPr>
        <w:t>等</w:t>
      </w:r>
      <w:r>
        <w:rPr>
          <w:rFonts w:hint="eastAsia"/>
        </w:rPr>
        <w:t>涉及合规管理的所有部门和员工；</w:t>
      </w:r>
    </w:p>
    <w:p>
      <w:pPr>
        <w:pStyle w:val="132"/>
        <w:rPr>
          <w:rFonts w:hint="eastAsia"/>
        </w:rPr>
      </w:pPr>
      <w:r>
        <w:rPr>
          <w:rFonts w:hint="eastAsia"/>
        </w:rPr>
        <w:t>全域，应包括经营者反垄断合规管理制度所覆盖的所有业务领域（如垄断协议、滥用市场优势地位、经营者集中等）、管理领域（如法务、财务、内控、风控等）、社会责任领域（如质量、环境、能源、健康安全等）；</w:t>
      </w:r>
    </w:p>
    <w:p>
      <w:pPr>
        <w:pStyle w:val="132"/>
        <w:rPr>
          <w:rFonts w:hint="eastAsia"/>
        </w:rPr>
      </w:pPr>
      <w:r>
        <w:rPr>
          <w:rFonts w:hint="eastAsia"/>
        </w:rPr>
        <w:t>全过程，应包括被评价经营者的产品生产和服务提供的全部业务流程和支持性过程，如生产过程、员工管理过程、采购过程、销售过程等。</w:t>
      </w:r>
    </w:p>
    <w:p>
      <w:pPr>
        <w:pStyle w:val="105"/>
        <w:spacing w:before="120" w:after="120"/>
      </w:pPr>
      <w:r>
        <w:rPr>
          <w:rFonts w:hint="eastAsia"/>
        </w:rPr>
        <w:t>评价依据</w:t>
      </w:r>
    </w:p>
    <w:p>
      <w:pPr>
        <w:pStyle w:val="56"/>
        <w:ind w:firstLine="420"/>
      </w:pPr>
      <w:r>
        <w:rPr>
          <w:rFonts w:hint="eastAsia"/>
        </w:rPr>
        <w:t>经营者开展反垄断合规管理评价，注意评价内容和评价指标体系是否符合相关要求。具体考察以下几个方面：</w:t>
      </w:r>
    </w:p>
    <w:p>
      <w:pPr>
        <w:pStyle w:val="132"/>
        <w:rPr>
          <w:rFonts w:hint="eastAsia"/>
        </w:rPr>
      </w:pPr>
      <w:r>
        <w:rPr>
          <w:rFonts w:hint="eastAsia"/>
        </w:rPr>
        <w:t>是否符合《中华人民共和国反垄断法》</w:t>
      </w:r>
      <w:r>
        <w:rPr>
          <w:rFonts w:hint="eastAsia"/>
          <w:lang w:val="en-US" w:eastAsia="zh-CN"/>
        </w:rPr>
        <w:t>及其配套</w:t>
      </w:r>
      <w:r>
        <w:rPr>
          <w:rFonts w:hint="eastAsia"/>
        </w:rPr>
        <w:t>法律</w:t>
      </w:r>
      <w:r>
        <w:rPr>
          <w:rFonts w:hint="eastAsia"/>
          <w:lang w:eastAsia="zh-CN"/>
        </w:rPr>
        <w:t>、</w:t>
      </w:r>
      <w:r>
        <w:rPr>
          <w:rFonts w:hint="eastAsia"/>
        </w:rPr>
        <w:t>法规</w:t>
      </w:r>
      <w:r>
        <w:rPr>
          <w:rFonts w:hint="eastAsia"/>
          <w:lang w:val="en-US" w:eastAsia="zh-CN"/>
        </w:rPr>
        <w:t>规章以及</w:t>
      </w:r>
      <w:r>
        <w:rPr>
          <w:rFonts w:hint="eastAsia"/>
        </w:rPr>
        <w:t>《经营者反垄断</w:t>
      </w:r>
      <w:r>
        <w:rPr>
          <w:rFonts w:hint="eastAsia"/>
          <w:lang w:val="en-US" w:eastAsia="zh-CN"/>
        </w:rPr>
        <w:t>合规</w:t>
      </w:r>
      <w:r>
        <w:rPr>
          <w:rFonts w:hint="eastAsia"/>
        </w:rPr>
        <w:t>指南》</w:t>
      </w:r>
      <w:r>
        <w:rPr>
          <w:rFonts w:hint="eastAsia"/>
          <w:lang w:val="en-US" w:eastAsia="zh-CN"/>
        </w:rPr>
        <w:t>等规范性文件</w:t>
      </w:r>
      <w:r>
        <w:rPr>
          <w:rFonts w:hint="eastAsia"/>
        </w:rPr>
        <w:t>的要求；</w:t>
      </w:r>
    </w:p>
    <w:p>
      <w:pPr>
        <w:pStyle w:val="132"/>
        <w:rPr>
          <w:rFonts w:hint="eastAsia"/>
        </w:rPr>
      </w:pPr>
      <w:r>
        <w:rPr>
          <w:rFonts w:hint="eastAsia"/>
        </w:rPr>
        <w:t>是否与GB/T 35770及其他反垄断合规相关国家标准的要求协调配套；</w:t>
      </w:r>
    </w:p>
    <w:p>
      <w:pPr>
        <w:pStyle w:val="132"/>
        <w:rPr>
          <w:rFonts w:hint="eastAsia"/>
        </w:rPr>
      </w:pPr>
      <w:r>
        <w:rPr>
          <w:rFonts w:hint="eastAsia"/>
        </w:rPr>
        <w:t>被评价经营者提供的工作文件是否符合规范性文件的要求。</w:t>
      </w:r>
    </w:p>
    <w:p>
      <w:pPr>
        <w:pStyle w:val="105"/>
        <w:spacing w:before="120" w:after="120"/>
        <w:rPr>
          <w:rFonts w:hint="eastAsia"/>
        </w:rPr>
      </w:pPr>
      <w:r>
        <w:rPr>
          <w:rFonts w:hint="eastAsia"/>
        </w:rPr>
        <w:t>预期达成度</w:t>
      </w:r>
    </w:p>
    <w:p>
      <w:pPr>
        <w:pStyle w:val="56"/>
        <w:ind w:firstLine="420"/>
      </w:pPr>
      <w:r>
        <w:rPr>
          <w:rFonts w:hint="eastAsia"/>
        </w:rPr>
        <w:t>经营者开展反垄断合规管理所产生的结果，是否达到反垄断合规管理的制度预期。具体考察以下几个方面：</w:t>
      </w:r>
    </w:p>
    <w:p>
      <w:pPr>
        <w:pStyle w:val="132"/>
        <w:rPr>
          <w:rFonts w:hint="eastAsia"/>
        </w:rPr>
      </w:pPr>
      <w:r>
        <w:rPr>
          <w:rFonts w:hint="eastAsia"/>
        </w:rPr>
        <w:t>被评价企业提供的管理文件是否客观、真实、有效；</w:t>
      </w:r>
    </w:p>
    <w:p>
      <w:pPr>
        <w:pStyle w:val="132"/>
        <w:rPr>
          <w:rFonts w:hint="eastAsia"/>
        </w:rPr>
      </w:pPr>
      <w:r>
        <w:rPr>
          <w:rFonts w:hint="eastAsia"/>
        </w:rPr>
        <w:t>被评价企业反垄断合规管理是否达到预期效果；</w:t>
      </w:r>
    </w:p>
    <w:p>
      <w:pPr>
        <w:pStyle w:val="132"/>
        <w:rPr>
          <w:rFonts w:hint="eastAsia"/>
        </w:rPr>
      </w:pPr>
      <w:r>
        <w:rPr>
          <w:rFonts w:hint="eastAsia"/>
        </w:rPr>
        <w:t>被评价企业反垄断合规管理是否得到持续改进。</w:t>
      </w:r>
    </w:p>
    <w:p>
      <w:pPr>
        <w:pStyle w:val="104"/>
        <w:spacing w:before="240" w:after="240"/>
      </w:pPr>
      <w:r>
        <w:rPr>
          <w:rFonts w:hint="eastAsia"/>
        </w:rPr>
        <w:t>评价组织</w:t>
      </w:r>
    </w:p>
    <w:p>
      <w:pPr>
        <w:pStyle w:val="105"/>
        <w:spacing w:before="120" w:after="120"/>
      </w:pPr>
      <w:r>
        <w:rPr>
          <w:rFonts w:hint="eastAsia"/>
        </w:rPr>
        <w:t>评价机构</w:t>
      </w:r>
    </w:p>
    <w:p>
      <w:pPr>
        <w:pStyle w:val="56"/>
        <w:ind w:firstLine="420"/>
        <w:rPr>
          <w:rFonts w:hint="eastAsia"/>
        </w:rPr>
      </w:pPr>
      <w:r>
        <w:rPr>
          <w:rFonts w:hint="eastAsia"/>
        </w:rPr>
        <w:t>开展经营者反垄断合规管理评价的机构应具备相关的资源和能力，包括但不限于拥有开展评价所需的评价工具、评价人员以及评价场所，评价机构的资质要求应当符合国家反垄断主管部门的有关规定。</w:t>
      </w:r>
    </w:p>
    <w:p>
      <w:pPr>
        <w:pStyle w:val="132"/>
        <w:numPr>
          <w:ilvl w:val="0"/>
          <w:numId w:val="0"/>
        </w:numPr>
        <w:ind w:left="851" w:hanging="426"/>
      </w:pPr>
      <w:r>
        <w:rPr>
          <w:rFonts w:hint="eastAsia"/>
        </w:rPr>
        <w:t>评价机构包括第三方评价机构和企业自己成立的评价部门。</w:t>
      </w:r>
    </w:p>
    <w:p>
      <w:pPr>
        <w:pStyle w:val="105"/>
        <w:spacing w:before="120" w:after="120"/>
        <w:rPr>
          <w:rFonts w:hint="eastAsia"/>
        </w:rPr>
      </w:pPr>
      <w:r>
        <w:rPr>
          <w:rFonts w:hint="eastAsia"/>
        </w:rPr>
        <w:t>评价人员</w:t>
      </w:r>
    </w:p>
    <w:p>
      <w:pPr>
        <w:pStyle w:val="56"/>
        <w:ind w:firstLine="420"/>
      </w:pPr>
      <w:r>
        <w:rPr>
          <w:rFonts w:hint="eastAsia"/>
        </w:rPr>
        <w:t>参与反垄断合规管理评价的人员，应当符合如下条件：</w:t>
      </w:r>
    </w:p>
    <w:p>
      <w:pPr>
        <w:pStyle w:val="174"/>
        <w:rPr>
          <w:rFonts w:hint="eastAsia"/>
        </w:rPr>
      </w:pPr>
      <w:r>
        <w:rPr>
          <w:rFonts w:hint="eastAsia"/>
        </w:rPr>
        <w:t>熟悉《中华人民共和国反垄断法》《经营者反垄断指南》等法律法规；</w:t>
      </w:r>
    </w:p>
    <w:p>
      <w:pPr>
        <w:pStyle w:val="174"/>
        <w:rPr>
          <w:rFonts w:hint="eastAsia"/>
        </w:rPr>
      </w:pPr>
      <w:r>
        <w:rPr>
          <w:rFonts w:hint="eastAsia"/>
        </w:rPr>
        <w:t>熟悉反垄断合规管理领域相关标准，具有从事反垄断合规管理评价的基本技能，熟练使用反垄断合规管理评价工具；</w:t>
      </w:r>
    </w:p>
    <w:p>
      <w:pPr>
        <w:pStyle w:val="174"/>
        <w:rPr>
          <w:rFonts w:hint="eastAsia"/>
        </w:rPr>
      </w:pPr>
      <w:r>
        <w:rPr>
          <w:rFonts w:hint="eastAsia"/>
        </w:rPr>
        <w:t>具有法律职业资格证书或标准化职业资格证书，或经过专业培训和考核，并经评价机构评聘；</w:t>
      </w:r>
    </w:p>
    <w:p>
      <w:pPr>
        <w:pStyle w:val="174"/>
        <w:rPr>
          <w:rFonts w:hint="eastAsia"/>
        </w:rPr>
      </w:pPr>
      <w:r>
        <w:rPr>
          <w:rFonts w:hint="eastAsia"/>
        </w:rPr>
        <w:t>与评价企业不存在直接或间接的可能影响评价结果公正的利益关联。</w:t>
      </w:r>
    </w:p>
    <w:p>
      <w:pPr>
        <w:pStyle w:val="104"/>
        <w:spacing w:before="240" w:after="240"/>
        <w:rPr>
          <w:rFonts w:hint="eastAsia"/>
        </w:rPr>
      </w:pPr>
      <w:r>
        <w:rPr>
          <w:rFonts w:hint="eastAsia"/>
        </w:rPr>
        <w:t>评价内容</w:t>
      </w:r>
    </w:p>
    <w:p>
      <w:pPr>
        <w:pStyle w:val="105"/>
        <w:spacing w:before="120" w:after="120"/>
      </w:pPr>
      <w:r>
        <w:rPr>
          <w:rFonts w:hint="eastAsia"/>
        </w:rPr>
        <w:t>评价维度</w:t>
      </w:r>
    </w:p>
    <w:p>
      <w:pPr>
        <w:pStyle w:val="56"/>
        <w:ind w:firstLine="420"/>
      </w:pPr>
      <w:r>
        <w:rPr>
          <w:rFonts w:hint="eastAsia"/>
        </w:rPr>
        <w:t>包括合规环境、组织与支持、制度、运行、监督与改进改进五个维度。</w:t>
      </w:r>
    </w:p>
    <w:p>
      <w:pPr>
        <w:pStyle w:val="105"/>
        <w:spacing w:before="120" w:after="120"/>
      </w:pPr>
      <w:r>
        <w:rPr>
          <w:rFonts w:hint="eastAsia"/>
        </w:rPr>
        <w:t>评价指标</w:t>
      </w:r>
    </w:p>
    <w:p>
      <w:pPr>
        <w:pStyle w:val="56"/>
        <w:ind w:firstLine="420"/>
      </w:pPr>
      <w:r>
        <w:rPr>
          <w:rFonts w:hint="eastAsia"/>
        </w:rPr>
        <w:t>经营者反垄断合规管理评价在各个维度上的评价指标如下：</w:t>
      </w:r>
    </w:p>
    <w:p>
      <w:pPr>
        <w:pStyle w:val="132"/>
        <w:rPr>
          <w:rFonts w:hint="eastAsia"/>
        </w:rPr>
      </w:pPr>
      <w:r>
        <w:rPr>
          <w:rFonts w:hint="eastAsia"/>
        </w:rPr>
        <w:t>合规环境评估主要关注内外部因素、利益相关方的需要和期望、合规管理体系的范围、合规义务四个指标，主要评价经营者在各项指标上的适应性；</w:t>
      </w:r>
    </w:p>
    <w:p>
      <w:pPr>
        <w:pStyle w:val="132"/>
        <w:rPr>
          <w:rFonts w:hint="eastAsia"/>
        </w:rPr>
      </w:pPr>
      <w:r>
        <w:rPr>
          <w:rFonts w:hint="eastAsia"/>
        </w:rPr>
        <w:t>组织与支持的评价关注最高管理层参与度、</w:t>
      </w:r>
      <w:r>
        <w:rPr>
          <w:rFonts w:hint="eastAsia"/>
          <w:lang w:val="en-US" w:eastAsia="zh-CN"/>
        </w:rPr>
        <w:t>合规治理机构及其他相关机构</w:t>
      </w:r>
      <w:r>
        <w:rPr>
          <w:rFonts w:hint="eastAsia"/>
        </w:rPr>
        <w:t>的职能和资源、</w:t>
      </w:r>
      <w:r>
        <w:rPr>
          <w:rFonts w:hint="eastAsia"/>
          <w:lang w:val="en-US" w:eastAsia="zh-CN"/>
        </w:rPr>
        <w:t>有关工作人员的</w:t>
      </w:r>
      <w:r>
        <w:rPr>
          <w:rFonts w:hint="eastAsia"/>
        </w:rPr>
        <w:t>能力与意识、合规管理信息化建设四个指标，主要评价经营者在各项指标上的充分性；</w:t>
      </w:r>
    </w:p>
    <w:p>
      <w:pPr>
        <w:pStyle w:val="132"/>
        <w:rPr>
          <w:rFonts w:hint="eastAsia"/>
        </w:rPr>
      </w:pPr>
      <w:r>
        <w:rPr>
          <w:rFonts w:hint="eastAsia"/>
        </w:rPr>
        <w:t>合规制度的评价关注合规管理文件、文件控制、合规培训三个指标，主要评价经营者在各项指标上的充分性；</w:t>
      </w:r>
    </w:p>
    <w:p>
      <w:pPr>
        <w:pStyle w:val="132"/>
        <w:rPr>
          <w:rFonts w:hint="eastAsia"/>
        </w:rPr>
      </w:pPr>
      <w:r>
        <w:rPr>
          <w:rFonts w:hint="eastAsia"/>
        </w:rPr>
        <w:t>运行机制的评价关注风险识别准确性、运行、沟通与交流、应急与响应四个指标，主要评价经营者在各项指标上的有效性；</w:t>
      </w:r>
    </w:p>
    <w:p>
      <w:pPr>
        <w:pStyle w:val="132"/>
        <w:rPr>
          <w:rFonts w:hint="eastAsia"/>
        </w:rPr>
      </w:pPr>
      <w:r>
        <w:rPr>
          <w:rFonts w:hint="eastAsia"/>
        </w:rPr>
        <w:t>监督与改进的评价包括监督机制、评价机制、改进与优化机制三个指标，主要评价经营者在各项指标上的充分性。</w:t>
      </w:r>
    </w:p>
    <w:p>
      <w:pPr>
        <w:pStyle w:val="132"/>
        <w:numPr>
          <w:ilvl w:val="0"/>
          <w:numId w:val="0"/>
        </w:numPr>
        <w:ind w:left="425"/>
        <w:rPr>
          <w:rFonts w:hint="eastAsia"/>
        </w:rPr>
      </w:pPr>
      <w:r>
        <w:rPr>
          <w:rFonts w:hint="eastAsia"/>
        </w:rPr>
        <w:t>具体评价指标体系参见附录A，评分规则参见附录B。</w:t>
      </w:r>
    </w:p>
    <w:p>
      <w:pPr>
        <w:pStyle w:val="105"/>
        <w:spacing w:before="120" w:after="120"/>
        <w:rPr>
          <w:rFonts w:hint="eastAsia"/>
        </w:rPr>
      </w:pPr>
      <w:r>
        <w:rPr>
          <w:rFonts w:hint="eastAsia"/>
        </w:rPr>
        <w:t>评价材料</w:t>
      </w:r>
    </w:p>
    <w:p>
      <w:pPr>
        <w:pStyle w:val="56"/>
        <w:ind w:firstLine="420"/>
      </w:pPr>
      <w:r>
        <w:rPr>
          <w:rFonts w:hint="eastAsia"/>
        </w:rPr>
        <w:t>被评价的经营者或经营者的隶属部门提交给评价机构的，与该企业反垄断合规管理相关的各类规范性文件、管理文件、工作材料的统称。</w:t>
      </w:r>
    </w:p>
    <w:p>
      <w:pPr>
        <w:pStyle w:val="104"/>
        <w:spacing w:before="240" w:after="240"/>
      </w:pPr>
      <w:r>
        <w:rPr>
          <w:rFonts w:hint="eastAsia"/>
        </w:rPr>
        <w:t>评价方法</w:t>
      </w:r>
    </w:p>
    <w:p>
      <w:pPr>
        <w:pStyle w:val="56"/>
        <w:ind w:firstLine="420"/>
      </w:pPr>
      <w:r>
        <w:rPr>
          <w:rFonts w:hint="eastAsia"/>
        </w:rPr>
        <w:t>评价机构应按照附录A给出的分值，根据各项指标中评价条款的要求给出具体评价得分。企业反垄断合规评价满分为</w:t>
      </w:r>
      <w:r>
        <w:rPr>
          <w:rFonts w:hint="eastAsia"/>
          <w:lang w:val="en-US" w:eastAsia="zh-CN"/>
        </w:rPr>
        <w:t>890</w:t>
      </w:r>
      <w:r>
        <w:rPr>
          <w:rFonts w:hint="eastAsia"/>
        </w:rPr>
        <w:t>分，</w:t>
      </w:r>
      <w:r>
        <w:rPr>
          <w:rFonts w:hint="eastAsia"/>
          <w:lang w:val="en-US" w:eastAsia="zh-CN"/>
        </w:rPr>
        <w:t>单向评价条款满分10分，评价得分可到小数点后两位。整体反垄断合规</w:t>
      </w:r>
      <w:r>
        <w:rPr>
          <w:rFonts w:hint="eastAsia"/>
        </w:rPr>
        <w:t>评价得分采用求和法计算得出，等于各项评价指标的得分之和。计算公式如下：</w:t>
      </w:r>
    </w:p>
    <w:p>
      <w:pPr>
        <w:pStyle w:val="113"/>
      </w:pPr>
      <w:r>
        <w:rPr>
          <w:rFonts w:hint="eastAsia"/>
        </w:rPr>
        <w:tab/>
      </w:r>
      <w:r>
        <w:rPr>
          <w:rFonts w:hint="eastAsia"/>
        </w:rPr>
        <w:br w:type="textWrapping"/>
      </w:r>
      <w:bookmarkStart w:id="44" w:name="_Hlk172117489"/>
      <m:oMathPara>
        <m:oMath>
          <m:r>
            <m:rPr/>
            <w:rPr>
              <w:rFonts w:hint="eastAsia" w:ascii="Cambria Math" w:hAnsi="Cambria Math"/>
            </w:rPr>
            <m:t>X</m:t>
          </m:r>
          <w:bookmarkEnd w:id="44"/>
          <m:r>
            <m:rPr/>
            <w:rPr>
              <w:rFonts w:ascii="Cambria Math" w:hAnsi="Cambria Math"/>
            </w:rPr>
            <m:t>=</m:t>
          </m:r>
          <m:nary>
            <m:naryPr>
              <m:chr m:val="∑"/>
              <m:limLoc m:val="undOvr"/>
              <m:ctrlPr>
                <w:rPr>
                  <w:rFonts w:ascii="Cambria Math" w:hAnsi="Cambria Math"/>
                  <w:i/>
                </w:rPr>
              </m:ctrlPr>
            </m:naryPr>
            <m:sub>
              <m:r>
                <m:rPr/>
                <w:rPr>
                  <w:rFonts w:hint="eastAsia" w:ascii="Cambria Math" w:hAnsi="Cambria Math"/>
                </w:rPr>
                <m:t>i</m:t>
              </m:r>
              <m:r>
                <m:rPr/>
                <w:rPr>
                  <w:rFonts w:ascii="Cambria Math" w:hAnsi="Cambria Math"/>
                </w:rPr>
                <m:t>=1</m:t>
              </m:r>
              <m:ctrlPr>
                <w:rPr>
                  <w:rFonts w:ascii="Cambria Math" w:hAnsi="Cambria Math"/>
                  <w:i/>
                </w:rPr>
              </m:ctrlPr>
            </m:sub>
            <m:sup>
              <m:r>
                <m:rPr/>
                <w:rPr>
                  <w:rFonts w:hint="eastAsia" w:ascii="Cambria Math" w:hAnsi="Cambria Math"/>
                </w:rPr>
                <m:t>m</m:t>
              </m:r>
              <m:ctrlPr>
                <w:rPr>
                  <w:rFonts w:ascii="Cambria Math" w:hAnsi="Cambria Math"/>
                  <w:i/>
                </w:rPr>
              </m:ctrlPr>
            </m:sup>
            <m:e>
              <m:d>
                <m:dPr>
                  <m:ctrlPr>
                    <w:rPr>
                      <w:rFonts w:ascii="Cambria Math" w:hAnsi="Cambria Math"/>
                      <w:i/>
                    </w:rPr>
                  </m:ctrlPr>
                </m:dPr>
                <m:e>
                  <m:nary>
                    <m:naryPr>
                      <m:chr m:val="∑"/>
                      <m:limLoc m:val="undOvr"/>
                      <m:ctrlPr>
                        <w:rPr>
                          <w:rFonts w:ascii="Cambria Math" w:hAnsi="Cambria Math"/>
                          <w:i/>
                        </w:rPr>
                      </m:ctrlPr>
                    </m:naryPr>
                    <m:sub>
                      <m:r>
                        <m:rPr/>
                        <w:rPr>
                          <w:rFonts w:hint="eastAsia" w:ascii="Cambria Math" w:hAnsi="Cambria Math"/>
                        </w:rPr>
                        <m:t>j</m:t>
                      </m:r>
                      <m:r>
                        <m:rPr/>
                        <w:rPr>
                          <w:rFonts w:ascii="Cambria Math" w:hAnsi="Cambria Math"/>
                        </w:rPr>
                        <m:t>=1</m:t>
                      </m:r>
                      <m:ctrlPr>
                        <w:rPr>
                          <w:rFonts w:ascii="Cambria Math" w:hAnsi="Cambria Math"/>
                          <w:i/>
                        </w:rPr>
                      </m:ctrlPr>
                    </m:sub>
                    <m:sup>
                      <m:r>
                        <m:rPr/>
                        <w:rPr>
                          <w:rFonts w:hint="eastAsia" w:ascii="Cambria Math" w:hAnsi="Cambria Math"/>
                        </w:rPr>
                        <m:t>n</m:t>
                      </m:r>
                      <m:ctrlPr>
                        <w:rPr>
                          <w:rFonts w:ascii="Cambria Math" w:hAnsi="Cambria Math"/>
                          <w:i/>
                        </w:rPr>
                      </m:ctrlPr>
                    </m:sup>
                    <m:e>
                      <m:r>
                        <m:rPr/>
                        <w:rPr>
                          <w:rFonts w:ascii="Cambria Math" w:hAnsi="Cambria Math"/>
                        </w:rPr>
                        <m:t>A</m:t>
                      </m:r>
                      <m:r>
                        <m:rPr/>
                        <w:rPr>
                          <w:rFonts w:hint="eastAsia" w:ascii="Cambria Math" w:hAnsi="Cambria Math"/>
                        </w:rPr>
                        <m:t>ij</m:t>
                      </m:r>
                      <m:ctrlPr>
                        <w:rPr>
                          <w:rFonts w:ascii="Cambria Math" w:hAnsi="Cambria Math"/>
                          <w:i/>
                        </w:rPr>
                      </m:ctrlPr>
                    </m:e>
                  </m:nary>
                  <m:ctrlPr>
                    <w:rPr>
                      <w:rFonts w:ascii="Cambria Math" w:hAnsi="Cambria Math"/>
                      <w:i/>
                    </w:rPr>
                  </m:ctrlPr>
                </m:e>
              </m:d>
              <m:ctrlPr>
                <w:rPr>
                  <w:rFonts w:ascii="Cambria Math" w:hAnsi="Cambria Math"/>
                  <w:i/>
                </w:rPr>
              </m:ctrlPr>
            </m:e>
          </m:nary>
          <m:r>
            <w:rPr>
              <w:rFonts w:hint="eastAsia" w:ascii="微软雅黑" w:eastAsia="微软雅黑"/>
            </w:rPr>
            <w:br w:type="textWrapping"/>
          </m:r>
        </m:oMath>
      </m:oMathPara>
      <w:r>
        <w:rPr>
          <w:rFonts w:hint="eastAsia" w:ascii="微软雅黑" w:eastAsia="微软雅黑"/>
        </w:rPr>
        <w:tab/>
      </w:r>
      <w:r>
        <w:t>(</w:t>
      </w:r>
      <w:r>
        <w:fldChar w:fldCharType="begin"/>
      </w:r>
      <w:r>
        <w:instrText xml:space="preserve"> AUTONUM </w:instrText>
      </w:r>
      <w:r>
        <w:fldChar w:fldCharType="end"/>
      </w:r>
      <w:r>
        <w:t>)</w:t>
      </w:r>
    </w:p>
    <w:p>
      <w:pPr>
        <w:pStyle w:val="55"/>
        <w:ind w:firstLine="420"/>
      </w:pPr>
      <w:r>
        <w:rPr>
          <w:rFonts w:hint="eastAsia"/>
        </w:rPr>
        <w:t>式中：</w:t>
      </w:r>
    </w:p>
    <w:p>
      <w:pPr>
        <w:pStyle w:val="56"/>
        <w:ind w:firstLine="420"/>
        <w:rPr>
          <w:rFonts w:hint="eastAsia"/>
        </w:rPr>
      </w:pPr>
      <w:r>
        <w:t>X</w:t>
      </w:r>
      <w:r>
        <w:rPr>
          <w:rFonts w:hint="eastAsia"/>
        </w:rPr>
        <w:t>：经营者反垄断合规管理体系评价后得分；</w:t>
      </w:r>
    </w:p>
    <w:p>
      <w:pPr>
        <w:pStyle w:val="56"/>
        <w:ind w:firstLine="420"/>
        <w:rPr>
          <w:rFonts w:hint="eastAsia"/>
        </w:rPr>
      </w:pPr>
      <w:r>
        <w:rPr>
          <w:rFonts w:hint="eastAsia"/>
        </w:rPr>
        <w:t>A</w:t>
      </w:r>
      <w:r>
        <w:rPr>
          <w:rFonts w:hint="eastAsia"/>
          <w:vertAlign w:val="subscript"/>
        </w:rPr>
        <w:t>ij</w:t>
      </w:r>
      <w:r>
        <w:rPr>
          <w:rFonts w:hint="eastAsia"/>
        </w:rPr>
        <w:t>：评价条款得分；</w:t>
      </w:r>
    </w:p>
    <w:p>
      <w:pPr>
        <w:pStyle w:val="56"/>
        <w:ind w:firstLine="420"/>
        <w:rPr>
          <w:rFonts w:hint="eastAsia"/>
        </w:rPr>
      </w:pPr>
      <w:r>
        <w:rPr>
          <w:rFonts w:hint="eastAsia"/>
        </w:rPr>
        <w:t>i、m：评价指标的序号和数量；</w:t>
      </w:r>
    </w:p>
    <w:p>
      <w:pPr>
        <w:pStyle w:val="56"/>
        <w:ind w:firstLine="420"/>
      </w:pPr>
      <w:r>
        <w:rPr>
          <w:rFonts w:hint="eastAsia"/>
        </w:rPr>
        <w:t>j、n：某评价指标下设定的评价条款的序号和数量；</w:t>
      </w:r>
    </w:p>
    <w:p>
      <w:pPr>
        <w:pStyle w:val="104"/>
        <w:spacing w:before="240" w:after="240"/>
      </w:pPr>
      <w:r>
        <w:rPr>
          <w:rFonts w:hint="eastAsia"/>
        </w:rPr>
        <w:t>评价流程</w:t>
      </w:r>
    </w:p>
    <w:p>
      <w:pPr>
        <w:pStyle w:val="56"/>
        <w:ind w:firstLine="420"/>
      </w:pPr>
      <w:r>
        <w:rPr>
          <w:rFonts w:hint="eastAsia"/>
        </w:rPr>
        <w:t>评价机构以经营者反垄断合规管理为对象开展评价所需遵循的工作流程和环节，经营者、评价机构可以根据具体的评价场景适当进行简化。</w:t>
      </w:r>
    </w:p>
    <w:p>
      <w:pPr>
        <w:pStyle w:val="105"/>
        <w:spacing w:before="120" w:after="120"/>
      </w:pPr>
      <w:r>
        <w:rPr>
          <w:rFonts w:hint="eastAsia"/>
        </w:rPr>
        <w:t>申请</w:t>
      </w:r>
    </w:p>
    <w:p>
      <w:pPr>
        <w:pStyle w:val="56"/>
        <w:ind w:firstLine="420"/>
      </w:pPr>
      <w:r>
        <w:rPr>
          <w:rFonts w:hint="eastAsia"/>
        </w:rPr>
        <w:t>被评价对象按照评价机构的要求，向其提交反垄断合规管理评价的申请书及相应材料。</w:t>
      </w:r>
    </w:p>
    <w:p>
      <w:pPr>
        <w:pStyle w:val="105"/>
        <w:spacing w:before="120" w:after="120"/>
        <w:rPr>
          <w:rFonts w:hint="eastAsia"/>
        </w:rPr>
      </w:pPr>
      <w:r>
        <w:rPr>
          <w:rFonts w:hint="eastAsia"/>
        </w:rPr>
        <w:t>审核</w:t>
      </w:r>
    </w:p>
    <w:p>
      <w:pPr>
        <w:pStyle w:val="56"/>
        <w:ind w:firstLine="420"/>
      </w:pPr>
      <w:r>
        <w:rPr>
          <w:rFonts w:hint="eastAsia"/>
        </w:rPr>
        <w:t>评价机构在收到被评价对象的申请书之日起5个工作日内，对被评价对象提交的申请书及材料进行审查评估，决定是否受理。</w:t>
      </w:r>
    </w:p>
    <w:p>
      <w:pPr>
        <w:pStyle w:val="132"/>
        <w:rPr>
          <w:rFonts w:hint="eastAsia"/>
        </w:rPr>
      </w:pPr>
      <w:r>
        <w:rPr>
          <w:rFonts w:hint="eastAsia"/>
        </w:rPr>
        <w:t>决定受理的，应当与提交申请的被评价对象签订书面工作合同；</w:t>
      </w:r>
    </w:p>
    <w:p>
      <w:pPr>
        <w:pStyle w:val="132"/>
        <w:rPr>
          <w:rFonts w:hint="eastAsia"/>
        </w:rPr>
      </w:pPr>
      <w:r>
        <w:rPr>
          <w:rFonts w:hint="eastAsia"/>
        </w:rPr>
        <w:t>决定不受理的，应当书面告知被评价对象不受理的原因。</w:t>
      </w:r>
    </w:p>
    <w:p>
      <w:pPr>
        <w:pStyle w:val="105"/>
        <w:spacing w:before="120" w:after="120"/>
        <w:rPr>
          <w:rFonts w:hint="eastAsia"/>
        </w:rPr>
      </w:pPr>
      <w:r>
        <w:rPr>
          <w:rFonts w:hint="eastAsia"/>
        </w:rPr>
        <w:t>提交材料</w:t>
      </w:r>
    </w:p>
    <w:p>
      <w:pPr>
        <w:pStyle w:val="56"/>
        <w:ind w:firstLine="420"/>
      </w:pPr>
      <w:r>
        <w:rPr>
          <w:rFonts w:hint="eastAsia"/>
        </w:rPr>
        <w:t>被评价对象应当依据工作合同，在约定的时间内、按照约定的方式向评价机构提供全部评价材料（6.3）。</w:t>
      </w:r>
    </w:p>
    <w:p>
      <w:pPr>
        <w:pStyle w:val="105"/>
        <w:spacing w:before="120" w:after="120"/>
      </w:pPr>
      <w:r>
        <w:rPr>
          <w:rFonts w:hint="eastAsia"/>
        </w:rPr>
        <w:t>评前调查</w:t>
      </w:r>
    </w:p>
    <w:p>
      <w:pPr>
        <w:pStyle w:val="56"/>
        <w:ind w:firstLine="420"/>
      </w:pPr>
      <w:r>
        <w:rPr>
          <w:rFonts w:hint="eastAsia"/>
        </w:rPr>
        <w:t>评价机构应当依据工作合同，在约定的时间内，向被评价对象派出评价人员开展评前调查。评价人员在工作合同约定的范围内，可以收集被评价对象未提供的、与反垄断合规有效性评价有关的音频、视频、图片以及文字等材料。</w:t>
      </w:r>
    </w:p>
    <w:p>
      <w:pPr>
        <w:pStyle w:val="105"/>
        <w:spacing w:before="120" w:after="120"/>
      </w:pPr>
      <w:r>
        <w:rPr>
          <w:rFonts w:hint="eastAsia"/>
        </w:rPr>
        <w:t>评审</w:t>
      </w:r>
    </w:p>
    <w:p>
      <w:pPr>
        <w:pStyle w:val="56"/>
        <w:ind w:firstLine="420"/>
        <w:rPr>
          <w:rFonts w:hint="eastAsia"/>
        </w:rPr>
      </w:pPr>
      <w:r>
        <w:rPr>
          <w:rFonts w:hint="eastAsia"/>
        </w:rPr>
        <w:t>评价机构组织成立评价专家组，专家组人数不少于5人，可包括参与评前调查的评价人员。</w:t>
      </w:r>
    </w:p>
    <w:p>
      <w:pPr>
        <w:pStyle w:val="56"/>
        <w:ind w:firstLine="420"/>
        <w:rPr>
          <w:rFonts w:hint="eastAsia"/>
        </w:rPr>
      </w:pPr>
      <w:r>
        <w:rPr>
          <w:rFonts w:hint="eastAsia"/>
        </w:rPr>
        <w:t>专家组在成立后20个工作日内，依据本标准规定的评价指标和评价方法，对评价材料开展评分，并根据评分结果，经集体投票，形成综合评价意见。</w:t>
      </w:r>
    </w:p>
    <w:p>
      <w:pPr>
        <w:pStyle w:val="56"/>
        <w:ind w:firstLine="420"/>
      </w:pPr>
      <w:r>
        <w:rPr>
          <w:rFonts w:hint="eastAsia"/>
        </w:rPr>
        <w:t>专家组在评审过程中发现需要继续补充材料的，评审期限可以适当延长，但最长不得超过专家组成立后30个工作日。</w:t>
      </w:r>
    </w:p>
    <w:p>
      <w:pPr>
        <w:pStyle w:val="105"/>
        <w:spacing w:before="120" w:after="120"/>
      </w:pPr>
      <w:r>
        <w:rPr>
          <w:rFonts w:hint="eastAsia"/>
        </w:rPr>
        <w:t>公示</w:t>
      </w:r>
    </w:p>
    <w:p>
      <w:pPr>
        <w:pStyle w:val="56"/>
        <w:ind w:firstLine="420"/>
      </w:pPr>
      <w:r>
        <w:rPr>
          <w:rFonts w:hint="eastAsia"/>
        </w:rPr>
        <w:t>专家组形成综合评价意见后2个工作日内，在评价机构官方网站上对评价结果进行公示。公示文稿应标明意见和异议的反馈渠道。</w:t>
      </w:r>
    </w:p>
    <w:p>
      <w:pPr>
        <w:pStyle w:val="105"/>
        <w:spacing w:before="120" w:after="120"/>
      </w:pPr>
      <w:r>
        <w:rPr>
          <w:rFonts w:hint="eastAsia"/>
        </w:rPr>
        <w:t>出具评价结果</w:t>
      </w:r>
    </w:p>
    <w:p>
      <w:pPr>
        <w:pStyle w:val="56"/>
        <w:ind w:firstLine="420"/>
        <w:rPr>
          <w:rFonts w:hint="eastAsia"/>
        </w:rPr>
      </w:pPr>
      <w:r>
        <w:rPr>
          <w:rFonts w:hint="eastAsia"/>
        </w:rPr>
        <w:t>公示期结束后没有收到异议的，或者公示期间收到异议经处理异议方同意公示结果的，评价机构应在公示期结束后5个工作日内向被评价对象出具评价报告。</w:t>
      </w:r>
    </w:p>
    <w:p>
      <w:pPr>
        <w:pStyle w:val="104"/>
        <w:spacing w:before="240" w:after="240"/>
        <w:rPr>
          <w:rFonts w:hint="eastAsia"/>
        </w:rPr>
      </w:pPr>
      <w:r>
        <w:rPr>
          <w:rFonts w:hint="eastAsia"/>
        </w:rPr>
        <w:t>评价结果应用</w:t>
      </w:r>
    </w:p>
    <w:p>
      <w:pPr>
        <w:pStyle w:val="162"/>
      </w:pPr>
      <w:r>
        <w:rPr>
          <w:rFonts w:hint="eastAsia"/>
        </w:rPr>
        <w:t>评价意见中关于被评价对象在反垄断合规管理中存在有关问题的意见和改进建议，应当作为被评价对象持续改进反垄断合规管理体系质量的主要依据，并作为下一次评价的重点评价指标。</w:t>
      </w:r>
    </w:p>
    <w:p>
      <w:pPr>
        <w:pStyle w:val="162"/>
      </w:pPr>
      <w:r>
        <w:rPr>
          <w:rFonts w:hint="eastAsia"/>
        </w:rPr>
        <w:t>评价结论可以作为被评价对象在日常经营活动中对外表达自身反垄断合规水平的证明依据。</w:t>
      </w:r>
    </w:p>
    <w:p>
      <w:pPr>
        <w:pStyle w:val="162"/>
      </w:pPr>
      <w:r>
        <w:rPr>
          <w:rFonts w:hint="eastAsia"/>
        </w:rPr>
        <w:t>评价结论可以作为政府监管部门对被评价对象开展合规激励的参考依据。</w:t>
      </w:r>
    </w:p>
    <w:p>
      <w:pPr>
        <w:pStyle w:val="56"/>
        <w:ind w:firstLine="420"/>
      </w:pPr>
    </w:p>
    <w:p>
      <w:pPr>
        <w:pStyle w:val="56"/>
        <w:ind w:firstLine="420"/>
      </w:pPr>
    </w:p>
    <w:p>
      <w:pPr>
        <w:pStyle w:val="56"/>
        <w:ind w:firstLine="420"/>
      </w:pPr>
    </w:p>
    <w:p>
      <w:pPr>
        <w:pStyle w:val="56"/>
        <w:ind w:firstLine="420"/>
      </w:pPr>
    </w:p>
    <w:p>
      <w:pPr>
        <w:pStyle w:val="56"/>
        <w:ind w:firstLine="420"/>
      </w:pPr>
    </w:p>
    <w:p>
      <w:pPr>
        <w:pStyle w:val="56"/>
        <w:ind w:firstLine="420"/>
      </w:pPr>
    </w:p>
    <w:p>
      <w:pPr>
        <w:pStyle w:val="56"/>
        <w:ind w:firstLine="420"/>
        <w:rPr>
          <w:rFonts w:hint="eastAsia"/>
        </w:rPr>
      </w:pPr>
    </w:p>
    <w:p>
      <w:pPr>
        <w:pStyle w:val="56"/>
        <w:ind w:firstLine="420"/>
        <w:rPr>
          <w:rFonts w:hint="eastAsia"/>
        </w:rPr>
      </w:pPr>
    </w:p>
    <w:p>
      <w:pPr>
        <w:pStyle w:val="56"/>
        <w:ind w:firstLine="420"/>
        <w:rPr>
          <w:rFonts w:hint="eastAsia"/>
        </w:rPr>
      </w:pPr>
    </w:p>
    <w:p>
      <w:pPr>
        <w:pStyle w:val="56"/>
        <w:ind w:firstLine="420"/>
        <w:sectPr>
          <w:headerReference r:id="rId11" w:type="default"/>
          <w:footerReference r:id="rId13" w:type="default"/>
          <w:headerReference r:id="rId12" w:type="even"/>
          <w:pgSz w:w="11906" w:h="16838"/>
          <w:pgMar w:top="1928" w:right="1134" w:bottom="1134" w:left="1134" w:header="1418" w:footer="1134" w:gutter="284"/>
          <w:pgNumType w:start="1"/>
          <w:cols w:space="425" w:num="1"/>
          <w:formProt w:val="0"/>
          <w:docGrid w:linePitch="312" w:charSpace="0"/>
        </w:sectPr>
      </w:pPr>
    </w:p>
    <w:bookmarkEnd w:id="22"/>
    <w:p>
      <w:pPr>
        <w:pStyle w:val="198"/>
        <w:rPr>
          <w:rFonts w:hint="eastAsia"/>
          <w:vanish w:val="0"/>
        </w:rPr>
      </w:pPr>
      <w:bookmarkStart w:id="45" w:name="BookMark5"/>
    </w:p>
    <w:p>
      <w:pPr>
        <w:pStyle w:val="199"/>
        <w:rPr>
          <w:rFonts w:hint="eastAsia"/>
          <w:vanish w:val="0"/>
        </w:rPr>
      </w:pPr>
    </w:p>
    <w:p>
      <w:pPr>
        <w:pStyle w:val="76"/>
        <w:spacing w:after="120"/>
        <w:rPr>
          <w:rFonts w:hint="eastAsia"/>
        </w:rPr>
      </w:pPr>
      <w:r>
        <w:br w:type="textWrapping"/>
      </w:r>
      <w:r>
        <w:rPr>
          <w:rFonts w:hint="eastAsia"/>
        </w:rPr>
        <w:t>（资料性）</w:t>
      </w:r>
      <w:r>
        <w:br w:type="textWrapping"/>
      </w:r>
      <w:r>
        <w:rPr>
          <w:rFonts w:hint="eastAsia"/>
        </w:rPr>
        <w:t>经营者反垄断合规管理评价指标体系表</w:t>
      </w:r>
    </w:p>
    <w:tbl>
      <w:tblPr>
        <w:tblStyle w:val="27"/>
        <w:tblW w:w="0" w:type="auto"/>
        <w:jc w:val="center"/>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Layout w:type="autofit"/>
        <w:tblCellMar>
          <w:top w:w="0" w:type="dxa"/>
          <w:left w:w="0" w:type="dxa"/>
          <w:bottom w:w="0" w:type="dxa"/>
          <w:right w:w="0" w:type="dxa"/>
        </w:tblCellMar>
      </w:tblPr>
      <w:tblGrid>
        <w:gridCol w:w="1346"/>
        <w:gridCol w:w="1300"/>
        <w:gridCol w:w="4660"/>
        <w:gridCol w:w="848"/>
      </w:tblGrid>
      <w:tr>
        <w:tblPrEx>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CellMar>
            <w:top w:w="0" w:type="dxa"/>
            <w:left w:w="0" w:type="dxa"/>
            <w:bottom w:w="0" w:type="dxa"/>
            <w:right w:w="0" w:type="dxa"/>
          </w:tblCellMar>
        </w:tblPrEx>
        <w:trPr>
          <w:tblHeader/>
          <w:jc w:val="center"/>
        </w:trPr>
        <w:tc>
          <w:tcPr>
            <w:tcW w:w="1346" w:type="dxa"/>
            <w:tcBorders>
              <w:top w:val="single" w:color="auto" w:sz="8" w:space="0"/>
              <w:bottom w:val="single" w:color="auto" w:sz="8" w:space="0"/>
            </w:tcBorders>
            <w:shd w:val="clear" w:color="auto" w:fill="auto"/>
            <w:vAlign w:val="center"/>
          </w:tcPr>
          <w:p>
            <w:pPr>
              <w:pStyle w:val="178"/>
              <w:rPr>
                <w:rFonts w:hint="eastAsia"/>
              </w:rPr>
            </w:pPr>
            <w:r>
              <w:rPr>
                <w:rFonts w:hint="eastAsia"/>
              </w:rPr>
              <w:t>评价维度</w:t>
            </w:r>
          </w:p>
        </w:tc>
        <w:tc>
          <w:tcPr>
            <w:tcW w:w="1300" w:type="dxa"/>
            <w:tcBorders>
              <w:top w:val="single" w:color="auto" w:sz="8" w:space="0"/>
              <w:bottom w:val="single" w:color="auto" w:sz="8" w:space="0"/>
            </w:tcBorders>
            <w:shd w:val="clear" w:color="auto" w:fill="auto"/>
            <w:vAlign w:val="center"/>
          </w:tcPr>
          <w:p>
            <w:pPr>
              <w:pStyle w:val="178"/>
              <w:rPr>
                <w:rFonts w:hint="eastAsia"/>
              </w:rPr>
            </w:pPr>
            <w:r>
              <w:rPr>
                <w:rFonts w:hint="eastAsia"/>
              </w:rPr>
              <w:t>评价指标</w:t>
            </w:r>
          </w:p>
        </w:tc>
        <w:tc>
          <w:tcPr>
            <w:tcW w:w="4660" w:type="dxa"/>
            <w:tcBorders>
              <w:top w:val="single" w:color="auto" w:sz="8" w:space="0"/>
              <w:bottom w:val="single" w:color="auto" w:sz="8" w:space="0"/>
            </w:tcBorders>
            <w:shd w:val="clear" w:color="auto" w:fill="auto"/>
            <w:vAlign w:val="center"/>
          </w:tcPr>
          <w:p>
            <w:pPr>
              <w:pStyle w:val="178"/>
              <w:rPr>
                <w:rFonts w:hint="eastAsia"/>
              </w:rPr>
            </w:pPr>
            <w:r>
              <w:rPr>
                <w:rFonts w:hint="eastAsia"/>
              </w:rPr>
              <w:t>评价条款</w:t>
            </w:r>
          </w:p>
        </w:tc>
        <w:tc>
          <w:tcPr>
            <w:tcW w:w="848" w:type="dxa"/>
            <w:tcBorders>
              <w:top w:val="single" w:color="auto" w:sz="8" w:space="0"/>
              <w:bottom w:val="single" w:color="auto" w:sz="8" w:space="0"/>
            </w:tcBorders>
            <w:shd w:val="clear" w:color="auto" w:fill="auto"/>
            <w:vAlign w:val="center"/>
          </w:tcPr>
          <w:p>
            <w:pPr>
              <w:pStyle w:val="178"/>
              <w:rPr>
                <w:rFonts w:hint="eastAsia"/>
              </w:rPr>
            </w:pPr>
            <w:r>
              <w:rPr>
                <w:rFonts w:hint="eastAsia"/>
              </w:rPr>
              <w:t>得分</w:t>
            </w:r>
          </w:p>
        </w:tc>
      </w:tr>
      <w:tr>
        <w:tblPrEx>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CellMar>
            <w:top w:w="0" w:type="dxa"/>
            <w:left w:w="0" w:type="dxa"/>
            <w:bottom w:w="0" w:type="dxa"/>
            <w:right w:w="0" w:type="dxa"/>
          </w:tblCellMar>
        </w:tblPrEx>
        <w:trPr>
          <w:trHeight w:val="32" w:hRule="atLeast"/>
          <w:jc w:val="center"/>
        </w:trPr>
        <w:tc>
          <w:tcPr>
            <w:tcW w:w="1346" w:type="dxa"/>
            <w:vMerge w:val="restart"/>
            <w:tcBorders>
              <w:top w:val="single" w:color="auto" w:sz="8" w:space="0"/>
              <w:right w:val="single" w:color="auto" w:sz="4" w:space="0"/>
            </w:tcBorders>
            <w:shd w:val="clear" w:color="auto" w:fill="FFFFFF" w:themeFill="background1"/>
            <w:vAlign w:val="center"/>
          </w:tcPr>
          <w:p>
            <w:pPr>
              <w:pStyle w:val="178"/>
              <w:rPr>
                <w:rFonts w:hint="eastAsia"/>
              </w:rPr>
            </w:pPr>
            <w:r>
              <w:rPr>
                <w:rFonts w:hint="eastAsia"/>
              </w:rPr>
              <w:t>环境</w:t>
            </w:r>
          </w:p>
        </w:tc>
        <w:tc>
          <w:tcPr>
            <w:tcW w:w="1300" w:type="dxa"/>
            <w:vMerge w:val="restart"/>
            <w:tcBorders>
              <w:top w:val="single" w:color="auto" w:sz="8" w:space="0"/>
              <w:left w:val="single" w:color="auto" w:sz="4" w:space="0"/>
              <w:right w:val="single" w:color="auto" w:sz="4" w:space="0"/>
            </w:tcBorders>
            <w:vAlign w:val="center"/>
          </w:tcPr>
          <w:p>
            <w:pPr>
              <w:pStyle w:val="178"/>
              <w:rPr>
                <w:rFonts w:hint="eastAsia"/>
              </w:rPr>
            </w:pPr>
            <w:r>
              <w:rPr>
                <w:rFonts w:hint="eastAsia" w:hAnsi="宋体"/>
              </w:rPr>
              <w:t>内外部因素</w:t>
            </w:r>
          </w:p>
        </w:tc>
        <w:tc>
          <w:tcPr>
            <w:tcW w:w="4660" w:type="dxa"/>
            <w:tcBorders>
              <w:top w:val="single" w:color="auto" w:sz="8" w:space="0"/>
              <w:left w:val="single" w:color="auto" w:sz="4" w:space="0"/>
            </w:tcBorders>
            <w:shd w:val="clear" w:color="auto" w:fill="auto"/>
            <w:vAlign w:val="center"/>
          </w:tcPr>
          <w:p>
            <w:pPr>
              <w:pStyle w:val="178"/>
              <w:jc w:val="left"/>
              <w:rPr>
                <w:rFonts w:hint="eastAsia"/>
              </w:rPr>
            </w:pPr>
            <w:r>
              <w:rPr>
                <w:rFonts w:hint="eastAsia"/>
              </w:rPr>
              <w:t>经济和社会发展状况 ，考虑宏观经济趋势、行业发展、市场动态等因素 ，以及这些因素如何影响经营活动和</w:t>
            </w:r>
            <w:r>
              <w:rPr>
                <w:rFonts w:hint="eastAsia"/>
                <w:lang w:val="en-US" w:eastAsia="zh-CN"/>
              </w:rPr>
              <w:t>反垄断</w:t>
            </w:r>
            <w:r>
              <w:rPr>
                <w:rFonts w:hint="eastAsia"/>
              </w:rPr>
              <w:t>合规义务</w:t>
            </w:r>
          </w:p>
        </w:tc>
        <w:tc>
          <w:tcPr>
            <w:tcW w:w="848" w:type="dxa"/>
            <w:tcBorders>
              <w:top w:val="single" w:color="auto" w:sz="8" w:space="0"/>
            </w:tcBorders>
            <w:shd w:val="clear" w:color="auto" w:fill="auto"/>
            <w:vAlign w:val="center"/>
          </w:tcPr>
          <w:p>
            <w:pPr>
              <w:pStyle w:val="178"/>
              <w:rPr>
                <w:rFonts w:hint="eastAsia"/>
              </w:rPr>
            </w:pPr>
          </w:p>
        </w:tc>
      </w:tr>
      <w:tr>
        <w:tblPrEx>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CellMar>
            <w:top w:w="0" w:type="dxa"/>
            <w:left w:w="0" w:type="dxa"/>
            <w:bottom w:w="0" w:type="dxa"/>
            <w:right w:w="0" w:type="dxa"/>
          </w:tblCellMar>
        </w:tblPrEx>
        <w:trPr>
          <w:trHeight w:val="32" w:hRule="atLeast"/>
          <w:jc w:val="center"/>
        </w:trPr>
        <w:tc>
          <w:tcPr>
            <w:tcW w:w="1346" w:type="dxa"/>
            <w:vMerge w:val="continue"/>
            <w:tcBorders>
              <w:right w:val="single" w:color="auto" w:sz="4" w:space="0"/>
            </w:tcBorders>
            <w:shd w:val="clear" w:color="auto" w:fill="FFFFFF" w:themeFill="background1"/>
            <w:vAlign w:val="center"/>
          </w:tcPr>
          <w:p>
            <w:pPr>
              <w:pStyle w:val="178"/>
              <w:jc w:val="left"/>
            </w:pPr>
          </w:p>
        </w:tc>
        <w:tc>
          <w:tcPr>
            <w:tcW w:w="1300" w:type="dxa"/>
            <w:vMerge w:val="continue"/>
            <w:tcBorders>
              <w:left w:val="single" w:color="auto" w:sz="4" w:space="0"/>
              <w:right w:val="single" w:color="auto" w:sz="4" w:space="0"/>
            </w:tcBorders>
            <w:vAlign w:val="center"/>
          </w:tcPr>
          <w:p>
            <w:pPr>
              <w:pStyle w:val="178"/>
              <w:jc w:val="left"/>
            </w:pPr>
          </w:p>
        </w:tc>
        <w:tc>
          <w:tcPr>
            <w:tcW w:w="4660" w:type="dxa"/>
            <w:tcBorders>
              <w:top w:val="single" w:color="auto" w:sz="8" w:space="0"/>
              <w:left w:val="single" w:color="auto" w:sz="4" w:space="0"/>
            </w:tcBorders>
            <w:shd w:val="clear" w:color="auto" w:fill="auto"/>
            <w:vAlign w:val="center"/>
          </w:tcPr>
          <w:p>
            <w:pPr>
              <w:pStyle w:val="178"/>
              <w:jc w:val="left"/>
              <w:rPr>
                <w:rFonts w:hint="eastAsia"/>
              </w:rPr>
            </w:pPr>
            <w:r>
              <w:rPr>
                <w:rFonts w:hint="eastAsia"/>
                <w:lang w:val="en-US" w:eastAsia="zh-CN"/>
              </w:rPr>
              <w:t>反垄断</w:t>
            </w:r>
            <w:r>
              <w:rPr>
                <w:rFonts w:hint="eastAsia"/>
              </w:rPr>
              <w:t>法律和监管环境 ，密切关注与</w:t>
            </w:r>
            <w:r>
              <w:rPr>
                <w:rFonts w:hint="eastAsia"/>
                <w:lang w:val="en-US" w:eastAsia="zh-CN"/>
              </w:rPr>
              <w:t>反垄断</w:t>
            </w:r>
            <w:r>
              <w:rPr>
                <w:rFonts w:hint="eastAsia"/>
              </w:rPr>
              <w:t>相关法律、法规、政策及标准的最新要求</w:t>
            </w:r>
          </w:p>
        </w:tc>
        <w:tc>
          <w:tcPr>
            <w:tcW w:w="848" w:type="dxa"/>
            <w:shd w:val="clear" w:color="auto" w:fill="auto"/>
            <w:vAlign w:val="center"/>
          </w:tcPr>
          <w:p>
            <w:pPr>
              <w:pStyle w:val="178"/>
              <w:jc w:val="left"/>
              <w:rPr>
                <w:rFonts w:hint="eastAsia"/>
              </w:rPr>
            </w:pPr>
          </w:p>
        </w:tc>
      </w:tr>
      <w:tr>
        <w:tblPrEx>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CellMar>
            <w:top w:w="0" w:type="dxa"/>
            <w:left w:w="0" w:type="dxa"/>
            <w:bottom w:w="0" w:type="dxa"/>
            <w:right w:w="0" w:type="dxa"/>
          </w:tblCellMar>
        </w:tblPrEx>
        <w:trPr>
          <w:trHeight w:val="32" w:hRule="atLeast"/>
          <w:jc w:val="center"/>
        </w:trPr>
        <w:tc>
          <w:tcPr>
            <w:tcW w:w="1346" w:type="dxa"/>
            <w:vMerge w:val="continue"/>
            <w:tcBorders>
              <w:right w:val="single" w:color="auto" w:sz="4" w:space="0"/>
            </w:tcBorders>
            <w:shd w:val="clear" w:color="auto" w:fill="FFFFFF" w:themeFill="background1"/>
            <w:vAlign w:val="center"/>
          </w:tcPr>
          <w:p>
            <w:pPr>
              <w:pStyle w:val="178"/>
              <w:jc w:val="left"/>
              <w:rPr>
                <w:rFonts w:hint="eastAsia"/>
              </w:rPr>
            </w:pPr>
          </w:p>
        </w:tc>
        <w:tc>
          <w:tcPr>
            <w:tcW w:w="1300" w:type="dxa"/>
            <w:vMerge w:val="continue"/>
            <w:tcBorders>
              <w:left w:val="single" w:color="auto" w:sz="4" w:space="0"/>
              <w:right w:val="single" w:color="auto" w:sz="4" w:space="0"/>
            </w:tcBorders>
            <w:vAlign w:val="center"/>
          </w:tcPr>
          <w:p>
            <w:pPr>
              <w:pStyle w:val="178"/>
              <w:jc w:val="left"/>
              <w:rPr>
                <w:rFonts w:hint="eastAsia"/>
              </w:rPr>
            </w:pPr>
          </w:p>
        </w:tc>
        <w:tc>
          <w:tcPr>
            <w:tcW w:w="4660" w:type="dxa"/>
            <w:tcBorders>
              <w:top w:val="single" w:color="auto" w:sz="8" w:space="0"/>
              <w:left w:val="single" w:color="auto" w:sz="4" w:space="0"/>
            </w:tcBorders>
            <w:shd w:val="clear" w:color="auto" w:fill="auto"/>
            <w:vAlign w:val="center"/>
          </w:tcPr>
          <w:p>
            <w:pPr>
              <w:pStyle w:val="178"/>
              <w:jc w:val="left"/>
              <w:rPr>
                <w:rFonts w:hint="eastAsia"/>
              </w:rPr>
            </w:pPr>
            <w:r>
              <w:rPr>
                <w:rFonts w:hint="eastAsia"/>
              </w:rPr>
              <w:t>行业竞争状况和经营者市场地位 ，评估经营者所处行业的市场结构、竞争状况和自身市场地位 ，以及这些因素如何影响</w:t>
            </w:r>
            <w:r>
              <w:rPr>
                <w:rFonts w:hint="eastAsia"/>
                <w:lang w:val="en-US" w:eastAsia="zh-CN"/>
              </w:rPr>
              <w:t>反垄断</w:t>
            </w:r>
            <w:r>
              <w:rPr>
                <w:rFonts w:hint="eastAsia"/>
              </w:rPr>
              <w:t>合规风险</w:t>
            </w:r>
          </w:p>
        </w:tc>
        <w:tc>
          <w:tcPr>
            <w:tcW w:w="848" w:type="dxa"/>
            <w:shd w:val="clear" w:color="auto" w:fill="auto"/>
            <w:vAlign w:val="center"/>
          </w:tcPr>
          <w:p>
            <w:pPr>
              <w:pStyle w:val="178"/>
              <w:jc w:val="left"/>
              <w:rPr>
                <w:rFonts w:hint="eastAsia"/>
              </w:rPr>
            </w:pPr>
          </w:p>
        </w:tc>
      </w:tr>
      <w:tr>
        <w:tblPrEx>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CellMar>
            <w:top w:w="0" w:type="dxa"/>
            <w:left w:w="0" w:type="dxa"/>
            <w:bottom w:w="0" w:type="dxa"/>
            <w:right w:w="0" w:type="dxa"/>
          </w:tblCellMar>
        </w:tblPrEx>
        <w:trPr>
          <w:trHeight w:val="32" w:hRule="atLeast"/>
          <w:jc w:val="center"/>
        </w:trPr>
        <w:tc>
          <w:tcPr>
            <w:tcW w:w="1346" w:type="dxa"/>
            <w:vMerge w:val="continue"/>
            <w:tcBorders>
              <w:right w:val="single" w:color="auto" w:sz="4" w:space="0"/>
            </w:tcBorders>
            <w:shd w:val="clear" w:color="auto" w:fill="FFFFFF" w:themeFill="background1"/>
            <w:vAlign w:val="center"/>
          </w:tcPr>
          <w:p>
            <w:pPr>
              <w:pStyle w:val="178"/>
              <w:jc w:val="left"/>
              <w:rPr>
                <w:rFonts w:hint="eastAsia"/>
              </w:rPr>
            </w:pPr>
          </w:p>
        </w:tc>
        <w:tc>
          <w:tcPr>
            <w:tcW w:w="1300" w:type="dxa"/>
            <w:vMerge w:val="continue"/>
            <w:tcBorders>
              <w:left w:val="single" w:color="auto" w:sz="4" w:space="0"/>
              <w:right w:val="single" w:color="auto" w:sz="4" w:space="0"/>
            </w:tcBorders>
            <w:vAlign w:val="center"/>
          </w:tcPr>
          <w:p>
            <w:pPr>
              <w:pStyle w:val="178"/>
              <w:jc w:val="left"/>
              <w:rPr>
                <w:rFonts w:hint="eastAsia"/>
              </w:rPr>
            </w:pPr>
          </w:p>
        </w:tc>
        <w:tc>
          <w:tcPr>
            <w:tcW w:w="4660" w:type="dxa"/>
            <w:tcBorders>
              <w:top w:val="single" w:color="auto" w:sz="8" w:space="0"/>
              <w:left w:val="single" w:color="auto" w:sz="4" w:space="0"/>
            </w:tcBorders>
            <w:shd w:val="clear" w:color="auto" w:fill="auto"/>
            <w:vAlign w:val="center"/>
          </w:tcPr>
          <w:p>
            <w:pPr>
              <w:pStyle w:val="178"/>
              <w:jc w:val="left"/>
              <w:rPr>
                <w:rFonts w:hint="eastAsia"/>
              </w:rPr>
            </w:pPr>
            <w:r>
              <w:rPr>
                <w:rFonts w:hint="eastAsia"/>
              </w:rPr>
              <w:t>经营者与相关方关系的性质和范围</w:t>
            </w:r>
          </w:p>
        </w:tc>
        <w:tc>
          <w:tcPr>
            <w:tcW w:w="848" w:type="dxa"/>
            <w:shd w:val="clear" w:color="auto" w:fill="auto"/>
            <w:vAlign w:val="center"/>
          </w:tcPr>
          <w:p>
            <w:pPr>
              <w:pStyle w:val="178"/>
              <w:jc w:val="left"/>
              <w:rPr>
                <w:rFonts w:hint="eastAsia"/>
              </w:rPr>
            </w:pPr>
          </w:p>
        </w:tc>
      </w:tr>
      <w:tr>
        <w:tblPrEx>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CellMar>
            <w:top w:w="0" w:type="dxa"/>
            <w:left w:w="0" w:type="dxa"/>
            <w:bottom w:w="0" w:type="dxa"/>
            <w:right w:w="0" w:type="dxa"/>
          </w:tblCellMar>
        </w:tblPrEx>
        <w:trPr>
          <w:trHeight w:val="32" w:hRule="atLeast"/>
          <w:jc w:val="center"/>
        </w:trPr>
        <w:tc>
          <w:tcPr>
            <w:tcW w:w="1346" w:type="dxa"/>
            <w:vMerge w:val="continue"/>
            <w:tcBorders>
              <w:right w:val="single" w:color="auto" w:sz="4" w:space="0"/>
            </w:tcBorders>
            <w:shd w:val="clear" w:color="auto" w:fill="FFFFFF" w:themeFill="background1"/>
            <w:vAlign w:val="center"/>
          </w:tcPr>
          <w:p>
            <w:pPr>
              <w:pStyle w:val="178"/>
              <w:jc w:val="left"/>
              <w:rPr>
                <w:rFonts w:hint="eastAsia"/>
              </w:rPr>
            </w:pPr>
          </w:p>
        </w:tc>
        <w:tc>
          <w:tcPr>
            <w:tcW w:w="1300" w:type="dxa"/>
            <w:vMerge w:val="continue"/>
            <w:tcBorders>
              <w:left w:val="single" w:color="auto" w:sz="4" w:space="0"/>
              <w:right w:val="single" w:color="auto" w:sz="4" w:space="0"/>
            </w:tcBorders>
            <w:vAlign w:val="center"/>
          </w:tcPr>
          <w:p>
            <w:pPr>
              <w:pStyle w:val="178"/>
              <w:jc w:val="left"/>
              <w:rPr>
                <w:rFonts w:hint="eastAsia"/>
              </w:rPr>
            </w:pPr>
          </w:p>
        </w:tc>
        <w:tc>
          <w:tcPr>
            <w:tcW w:w="4660" w:type="dxa"/>
            <w:tcBorders>
              <w:top w:val="single" w:color="auto" w:sz="8" w:space="0"/>
              <w:left w:val="single" w:color="auto" w:sz="4" w:space="0"/>
            </w:tcBorders>
            <w:shd w:val="clear" w:color="auto" w:fill="auto"/>
            <w:vAlign w:val="center"/>
          </w:tcPr>
          <w:p>
            <w:pPr>
              <w:pStyle w:val="178"/>
              <w:jc w:val="left"/>
              <w:rPr>
                <w:rFonts w:hint="eastAsia"/>
              </w:rPr>
            </w:pPr>
            <w:r>
              <w:rPr>
                <w:rFonts w:hint="eastAsia"/>
              </w:rPr>
              <w:t>经营者业务模式 ，包括其战略方向、性质、规模、复杂性和可持续性 ，以及这些因素对合规管理的影响</w:t>
            </w:r>
          </w:p>
        </w:tc>
        <w:tc>
          <w:tcPr>
            <w:tcW w:w="848" w:type="dxa"/>
            <w:shd w:val="clear" w:color="auto" w:fill="auto"/>
            <w:vAlign w:val="center"/>
          </w:tcPr>
          <w:p>
            <w:pPr>
              <w:pStyle w:val="178"/>
              <w:jc w:val="left"/>
              <w:rPr>
                <w:rFonts w:hint="eastAsia"/>
              </w:rPr>
            </w:pPr>
          </w:p>
        </w:tc>
      </w:tr>
      <w:tr>
        <w:tblPrEx>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CellMar>
            <w:top w:w="0" w:type="dxa"/>
            <w:left w:w="0" w:type="dxa"/>
            <w:bottom w:w="0" w:type="dxa"/>
            <w:right w:w="0" w:type="dxa"/>
          </w:tblCellMar>
        </w:tblPrEx>
        <w:trPr>
          <w:trHeight w:val="32" w:hRule="atLeast"/>
          <w:jc w:val="center"/>
        </w:trPr>
        <w:tc>
          <w:tcPr>
            <w:tcW w:w="1346" w:type="dxa"/>
            <w:vMerge w:val="continue"/>
            <w:tcBorders>
              <w:right w:val="single" w:color="auto" w:sz="4" w:space="0"/>
            </w:tcBorders>
            <w:shd w:val="clear" w:color="auto" w:fill="FFFFFF" w:themeFill="background1"/>
            <w:vAlign w:val="center"/>
          </w:tcPr>
          <w:p>
            <w:pPr>
              <w:pStyle w:val="178"/>
              <w:jc w:val="left"/>
              <w:rPr>
                <w:rFonts w:hint="eastAsia"/>
              </w:rPr>
            </w:pPr>
          </w:p>
        </w:tc>
        <w:tc>
          <w:tcPr>
            <w:tcW w:w="1300" w:type="dxa"/>
            <w:vMerge w:val="continue"/>
            <w:tcBorders>
              <w:left w:val="single" w:color="auto" w:sz="4" w:space="0"/>
              <w:right w:val="single" w:color="auto" w:sz="4" w:space="0"/>
            </w:tcBorders>
            <w:vAlign w:val="center"/>
          </w:tcPr>
          <w:p>
            <w:pPr>
              <w:pStyle w:val="178"/>
              <w:jc w:val="left"/>
              <w:rPr>
                <w:rFonts w:hint="eastAsia"/>
              </w:rPr>
            </w:pPr>
          </w:p>
        </w:tc>
        <w:tc>
          <w:tcPr>
            <w:tcW w:w="4660" w:type="dxa"/>
            <w:tcBorders>
              <w:top w:val="single" w:color="auto" w:sz="8" w:space="0"/>
              <w:left w:val="single" w:color="auto" w:sz="4" w:space="0"/>
            </w:tcBorders>
            <w:shd w:val="clear" w:color="auto" w:fill="auto"/>
            <w:vAlign w:val="center"/>
          </w:tcPr>
          <w:p>
            <w:pPr>
              <w:pStyle w:val="178"/>
              <w:jc w:val="left"/>
              <w:rPr>
                <w:rFonts w:hint="eastAsia"/>
              </w:rPr>
            </w:pPr>
            <w:r>
              <w:rPr>
                <w:rFonts w:hint="eastAsia"/>
              </w:rPr>
              <w:t>自身的</w:t>
            </w:r>
            <w:r>
              <w:rPr>
                <w:rFonts w:hint="eastAsia"/>
                <w:lang w:val="en-US" w:eastAsia="zh-CN"/>
              </w:rPr>
              <w:t>反垄断</w:t>
            </w:r>
            <w:r>
              <w:rPr>
                <w:rFonts w:hint="eastAsia"/>
              </w:rPr>
              <w:t>合规文化 ，分析经营者的价值观、使命和愿景 ，及其如何影响合规文化的发展和员工的行为准则</w:t>
            </w:r>
          </w:p>
        </w:tc>
        <w:tc>
          <w:tcPr>
            <w:tcW w:w="848" w:type="dxa"/>
            <w:shd w:val="clear" w:color="auto" w:fill="auto"/>
            <w:vAlign w:val="center"/>
          </w:tcPr>
          <w:p>
            <w:pPr>
              <w:pStyle w:val="178"/>
              <w:jc w:val="left"/>
              <w:rPr>
                <w:rFonts w:hint="eastAsia"/>
              </w:rPr>
            </w:pPr>
          </w:p>
        </w:tc>
      </w:tr>
      <w:tr>
        <w:tblPrEx>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CellMar>
            <w:top w:w="0" w:type="dxa"/>
            <w:left w:w="0" w:type="dxa"/>
            <w:bottom w:w="0" w:type="dxa"/>
            <w:right w:w="0" w:type="dxa"/>
          </w:tblCellMar>
        </w:tblPrEx>
        <w:trPr>
          <w:trHeight w:val="37" w:hRule="atLeast"/>
          <w:jc w:val="center"/>
        </w:trPr>
        <w:tc>
          <w:tcPr>
            <w:tcW w:w="1346" w:type="dxa"/>
            <w:vMerge w:val="continue"/>
            <w:tcBorders>
              <w:top w:val="single" w:color="auto" w:sz="4" w:space="0"/>
              <w:bottom w:val="single" w:color="auto" w:sz="4" w:space="0"/>
              <w:right w:val="single" w:color="auto" w:sz="4" w:space="0"/>
            </w:tcBorders>
            <w:shd w:val="clear" w:color="auto" w:fill="FFFFFF" w:themeFill="background1"/>
            <w:vAlign w:val="center"/>
          </w:tcPr>
          <w:p>
            <w:pPr>
              <w:pStyle w:val="178"/>
              <w:rPr>
                <w:rFonts w:hint="eastAsia"/>
              </w:rPr>
            </w:pPr>
          </w:p>
        </w:tc>
        <w:tc>
          <w:tcPr>
            <w:tcW w:w="1300" w:type="dxa"/>
            <w:vMerge w:val="restart"/>
            <w:tcBorders>
              <w:top w:val="single" w:color="auto" w:sz="4" w:space="0"/>
              <w:left w:val="single" w:color="auto" w:sz="4" w:space="0"/>
              <w:right w:val="single" w:color="auto" w:sz="4" w:space="0"/>
            </w:tcBorders>
            <w:vAlign w:val="center"/>
          </w:tcPr>
          <w:p>
            <w:pPr>
              <w:pStyle w:val="178"/>
              <w:rPr>
                <w:rFonts w:hint="eastAsia"/>
              </w:rPr>
            </w:pPr>
            <w:r>
              <w:rPr>
                <w:rFonts w:hint="eastAsia" w:hAnsi="宋体"/>
              </w:rPr>
              <w:t>利益相关方需要和期望</w:t>
            </w:r>
          </w:p>
        </w:tc>
        <w:tc>
          <w:tcPr>
            <w:tcW w:w="4660" w:type="dxa"/>
            <w:tcBorders>
              <w:left w:val="single" w:color="auto" w:sz="4" w:space="0"/>
            </w:tcBorders>
            <w:shd w:val="clear" w:color="auto" w:fill="auto"/>
            <w:vAlign w:val="center"/>
          </w:tcPr>
          <w:p>
            <w:pPr>
              <w:pStyle w:val="178"/>
              <w:jc w:val="left"/>
              <w:rPr>
                <w:rFonts w:hint="eastAsia"/>
              </w:rPr>
            </w:pPr>
            <w:r>
              <w:rPr>
                <w:rFonts w:hint="eastAsia"/>
              </w:rPr>
              <w:t>识别相关方 ，明确可能影响或受经营者公平竞争合规行为影响的组织或个人 ，相关方的范围由经营者根据所处行业以及开展的业务确定</w:t>
            </w:r>
          </w:p>
        </w:tc>
        <w:tc>
          <w:tcPr>
            <w:tcW w:w="848" w:type="dxa"/>
            <w:shd w:val="clear" w:color="auto" w:fill="auto"/>
            <w:vAlign w:val="center"/>
          </w:tcPr>
          <w:p>
            <w:pPr>
              <w:pStyle w:val="178"/>
              <w:rPr>
                <w:rFonts w:hint="eastAsia"/>
              </w:rPr>
            </w:pPr>
          </w:p>
        </w:tc>
      </w:tr>
      <w:tr>
        <w:tblPrEx>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CellMar>
            <w:top w:w="0" w:type="dxa"/>
            <w:left w:w="0" w:type="dxa"/>
            <w:bottom w:w="0" w:type="dxa"/>
            <w:right w:w="0" w:type="dxa"/>
          </w:tblCellMar>
        </w:tblPrEx>
        <w:trPr>
          <w:trHeight w:val="37" w:hRule="atLeast"/>
          <w:jc w:val="center"/>
        </w:trPr>
        <w:tc>
          <w:tcPr>
            <w:tcW w:w="1346" w:type="dxa"/>
            <w:vMerge w:val="continue"/>
            <w:tcBorders>
              <w:top w:val="single" w:color="auto" w:sz="4" w:space="0"/>
              <w:bottom w:val="single" w:color="auto" w:sz="4" w:space="0"/>
              <w:right w:val="single" w:color="auto" w:sz="4" w:space="0"/>
            </w:tcBorders>
            <w:shd w:val="clear" w:color="auto" w:fill="FFFFFF" w:themeFill="background1"/>
            <w:vAlign w:val="center"/>
          </w:tcPr>
          <w:p>
            <w:pPr>
              <w:pStyle w:val="178"/>
              <w:jc w:val="left"/>
            </w:pPr>
          </w:p>
        </w:tc>
        <w:tc>
          <w:tcPr>
            <w:tcW w:w="1300" w:type="dxa"/>
            <w:vMerge w:val="continue"/>
            <w:tcBorders>
              <w:left w:val="single" w:color="auto" w:sz="4" w:space="0"/>
              <w:right w:val="single" w:color="auto" w:sz="4" w:space="0"/>
            </w:tcBorders>
            <w:vAlign w:val="center"/>
          </w:tcPr>
          <w:p>
            <w:pPr>
              <w:pStyle w:val="178"/>
              <w:jc w:val="left"/>
            </w:pPr>
          </w:p>
        </w:tc>
        <w:tc>
          <w:tcPr>
            <w:tcW w:w="4660" w:type="dxa"/>
            <w:tcBorders>
              <w:left w:val="single" w:color="auto" w:sz="4" w:space="0"/>
            </w:tcBorders>
            <w:shd w:val="clear" w:color="auto" w:fill="auto"/>
            <w:vAlign w:val="center"/>
          </w:tcPr>
          <w:p>
            <w:pPr>
              <w:pStyle w:val="178"/>
              <w:jc w:val="left"/>
              <w:rPr>
                <w:rFonts w:hint="eastAsia"/>
              </w:rPr>
            </w:pPr>
            <w:r>
              <w:rPr>
                <w:rFonts w:hint="eastAsia"/>
              </w:rPr>
              <w:t>通过调研、问卷、会议和沟通等多种方式 ，收集相关方对经营者</w:t>
            </w:r>
            <w:r>
              <w:rPr>
                <w:rFonts w:hint="eastAsia"/>
                <w:lang w:eastAsia="zh-CN"/>
              </w:rPr>
              <w:t>反垄断合规</w:t>
            </w:r>
            <w:r>
              <w:rPr>
                <w:rFonts w:hint="eastAsia"/>
              </w:rPr>
              <w:t>行为的具体需求和期望</w:t>
            </w:r>
          </w:p>
        </w:tc>
        <w:tc>
          <w:tcPr>
            <w:tcW w:w="848" w:type="dxa"/>
            <w:shd w:val="clear" w:color="auto" w:fill="auto"/>
            <w:vAlign w:val="center"/>
          </w:tcPr>
          <w:p>
            <w:pPr>
              <w:pStyle w:val="178"/>
              <w:jc w:val="left"/>
              <w:rPr>
                <w:rFonts w:hint="eastAsia"/>
              </w:rPr>
            </w:pPr>
          </w:p>
        </w:tc>
      </w:tr>
      <w:tr>
        <w:tblPrEx>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CellMar>
            <w:top w:w="0" w:type="dxa"/>
            <w:left w:w="0" w:type="dxa"/>
            <w:bottom w:w="0" w:type="dxa"/>
            <w:right w:w="0" w:type="dxa"/>
          </w:tblCellMar>
        </w:tblPrEx>
        <w:trPr>
          <w:trHeight w:val="37" w:hRule="atLeast"/>
          <w:jc w:val="center"/>
        </w:trPr>
        <w:tc>
          <w:tcPr>
            <w:tcW w:w="1346" w:type="dxa"/>
            <w:vMerge w:val="continue"/>
            <w:tcBorders>
              <w:top w:val="single" w:color="auto" w:sz="4" w:space="0"/>
              <w:bottom w:val="single" w:color="auto" w:sz="4" w:space="0"/>
              <w:right w:val="single" w:color="auto" w:sz="4" w:space="0"/>
            </w:tcBorders>
            <w:shd w:val="clear" w:color="auto" w:fill="FFFFFF" w:themeFill="background1"/>
            <w:vAlign w:val="center"/>
          </w:tcPr>
          <w:p>
            <w:pPr>
              <w:pStyle w:val="178"/>
              <w:jc w:val="left"/>
              <w:rPr>
                <w:rFonts w:hint="eastAsia"/>
              </w:rPr>
            </w:pPr>
          </w:p>
        </w:tc>
        <w:tc>
          <w:tcPr>
            <w:tcW w:w="1300" w:type="dxa"/>
            <w:vMerge w:val="continue"/>
            <w:tcBorders>
              <w:left w:val="single" w:color="auto" w:sz="4" w:space="0"/>
              <w:right w:val="single" w:color="auto" w:sz="4" w:space="0"/>
            </w:tcBorders>
            <w:vAlign w:val="center"/>
          </w:tcPr>
          <w:p>
            <w:pPr>
              <w:pStyle w:val="178"/>
              <w:jc w:val="left"/>
              <w:rPr>
                <w:rFonts w:hint="eastAsia"/>
              </w:rPr>
            </w:pPr>
          </w:p>
        </w:tc>
        <w:tc>
          <w:tcPr>
            <w:tcW w:w="4660" w:type="dxa"/>
            <w:tcBorders>
              <w:left w:val="single" w:color="auto" w:sz="4" w:space="0"/>
            </w:tcBorders>
            <w:shd w:val="clear" w:color="auto" w:fill="auto"/>
            <w:vAlign w:val="center"/>
          </w:tcPr>
          <w:p>
            <w:pPr>
              <w:pStyle w:val="178"/>
              <w:jc w:val="left"/>
              <w:rPr>
                <w:rFonts w:hint="eastAsia"/>
              </w:rPr>
            </w:pPr>
            <w:r>
              <w:rPr>
                <w:rFonts w:hint="eastAsia"/>
              </w:rPr>
              <w:t>评估和分析收集到的信息 ，识别相关方的核心关切点 ，以及这些期望如何与反垄断合规义务相结合</w:t>
            </w:r>
          </w:p>
        </w:tc>
        <w:tc>
          <w:tcPr>
            <w:tcW w:w="848" w:type="dxa"/>
            <w:shd w:val="clear" w:color="auto" w:fill="auto"/>
            <w:vAlign w:val="center"/>
          </w:tcPr>
          <w:p>
            <w:pPr>
              <w:pStyle w:val="178"/>
              <w:jc w:val="left"/>
              <w:rPr>
                <w:rFonts w:hint="eastAsia"/>
              </w:rPr>
            </w:pPr>
          </w:p>
        </w:tc>
      </w:tr>
      <w:tr>
        <w:tblPrEx>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CellMar>
            <w:top w:w="0" w:type="dxa"/>
            <w:left w:w="0" w:type="dxa"/>
            <w:bottom w:w="0" w:type="dxa"/>
            <w:right w:w="0" w:type="dxa"/>
          </w:tblCellMar>
        </w:tblPrEx>
        <w:trPr>
          <w:trHeight w:val="37" w:hRule="atLeast"/>
          <w:jc w:val="center"/>
        </w:trPr>
        <w:tc>
          <w:tcPr>
            <w:tcW w:w="1346" w:type="dxa"/>
            <w:vMerge w:val="continue"/>
            <w:tcBorders>
              <w:top w:val="single" w:color="auto" w:sz="4" w:space="0"/>
              <w:bottom w:val="single" w:color="auto" w:sz="4" w:space="0"/>
              <w:right w:val="single" w:color="auto" w:sz="4" w:space="0"/>
            </w:tcBorders>
            <w:shd w:val="clear" w:color="auto" w:fill="FFFFFF" w:themeFill="background1"/>
            <w:vAlign w:val="center"/>
          </w:tcPr>
          <w:p>
            <w:pPr>
              <w:pStyle w:val="178"/>
              <w:jc w:val="left"/>
              <w:rPr>
                <w:rFonts w:hint="eastAsia"/>
              </w:rPr>
            </w:pPr>
          </w:p>
        </w:tc>
        <w:tc>
          <w:tcPr>
            <w:tcW w:w="1300" w:type="dxa"/>
            <w:vMerge w:val="continue"/>
            <w:tcBorders>
              <w:left w:val="single" w:color="auto" w:sz="4" w:space="0"/>
              <w:right w:val="single" w:color="auto" w:sz="4" w:space="0"/>
            </w:tcBorders>
            <w:vAlign w:val="center"/>
          </w:tcPr>
          <w:p>
            <w:pPr>
              <w:pStyle w:val="178"/>
              <w:jc w:val="left"/>
              <w:rPr>
                <w:rFonts w:hint="eastAsia"/>
              </w:rPr>
            </w:pPr>
          </w:p>
        </w:tc>
        <w:tc>
          <w:tcPr>
            <w:tcW w:w="4660" w:type="dxa"/>
            <w:tcBorders>
              <w:left w:val="single" w:color="auto" w:sz="4" w:space="0"/>
            </w:tcBorders>
            <w:shd w:val="clear" w:color="auto" w:fill="auto"/>
            <w:vAlign w:val="center"/>
          </w:tcPr>
          <w:p>
            <w:pPr>
              <w:pStyle w:val="178"/>
              <w:jc w:val="left"/>
              <w:rPr>
                <w:rFonts w:hint="eastAsia"/>
              </w:rPr>
            </w:pPr>
            <w:r>
              <w:rPr>
                <w:rFonts w:hint="eastAsia"/>
              </w:rPr>
              <w:t>基于相关方的需求和期望 ，确定反垄断合规管理能够解决的具体问题和需求</w:t>
            </w:r>
          </w:p>
        </w:tc>
        <w:tc>
          <w:tcPr>
            <w:tcW w:w="848" w:type="dxa"/>
            <w:shd w:val="clear" w:color="auto" w:fill="auto"/>
            <w:vAlign w:val="center"/>
          </w:tcPr>
          <w:p>
            <w:pPr>
              <w:pStyle w:val="178"/>
              <w:jc w:val="left"/>
              <w:rPr>
                <w:rFonts w:hint="eastAsia"/>
              </w:rPr>
            </w:pPr>
          </w:p>
        </w:tc>
      </w:tr>
      <w:tr>
        <w:tblPrEx>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CellMar>
            <w:top w:w="0" w:type="dxa"/>
            <w:left w:w="0" w:type="dxa"/>
            <w:bottom w:w="0" w:type="dxa"/>
            <w:right w:w="0" w:type="dxa"/>
          </w:tblCellMar>
        </w:tblPrEx>
        <w:trPr>
          <w:trHeight w:val="37" w:hRule="atLeast"/>
          <w:jc w:val="center"/>
        </w:trPr>
        <w:tc>
          <w:tcPr>
            <w:tcW w:w="1346" w:type="dxa"/>
            <w:vMerge w:val="continue"/>
            <w:tcBorders>
              <w:top w:val="single" w:color="auto" w:sz="4" w:space="0"/>
              <w:bottom w:val="single" w:color="auto" w:sz="4" w:space="0"/>
              <w:right w:val="single" w:color="auto" w:sz="4" w:space="0"/>
            </w:tcBorders>
            <w:shd w:val="clear" w:color="auto" w:fill="FFFFFF" w:themeFill="background1"/>
            <w:vAlign w:val="center"/>
          </w:tcPr>
          <w:p>
            <w:pPr>
              <w:pStyle w:val="178"/>
              <w:jc w:val="left"/>
              <w:rPr>
                <w:rFonts w:hint="eastAsia"/>
              </w:rPr>
            </w:pPr>
          </w:p>
        </w:tc>
        <w:tc>
          <w:tcPr>
            <w:tcW w:w="1300" w:type="dxa"/>
            <w:vMerge w:val="continue"/>
            <w:tcBorders>
              <w:left w:val="single" w:color="auto" w:sz="4" w:space="0"/>
              <w:right w:val="single" w:color="auto" w:sz="4" w:space="0"/>
            </w:tcBorders>
            <w:vAlign w:val="center"/>
          </w:tcPr>
          <w:p>
            <w:pPr>
              <w:pStyle w:val="178"/>
              <w:jc w:val="left"/>
              <w:rPr>
                <w:rFonts w:hint="eastAsia"/>
              </w:rPr>
            </w:pPr>
          </w:p>
        </w:tc>
        <w:tc>
          <w:tcPr>
            <w:tcW w:w="4660" w:type="dxa"/>
            <w:tcBorders>
              <w:left w:val="single" w:color="auto" w:sz="4" w:space="0"/>
            </w:tcBorders>
            <w:shd w:val="clear" w:color="auto" w:fill="auto"/>
            <w:vAlign w:val="center"/>
          </w:tcPr>
          <w:p>
            <w:pPr>
              <w:pStyle w:val="178"/>
              <w:jc w:val="left"/>
              <w:rPr>
                <w:rFonts w:hint="eastAsia"/>
              </w:rPr>
            </w:pPr>
            <w:r>
              <w:rPr>
                <w:rFonts w:hint="eastAsia"/>
              </w:rPr>
              <w:t>建立和维护与相关方的沟通机制 ，确保其需求和期望被及时听取并在合规管理过程中得到考虑</w:t>
            </w:r>
          </w:p>
        </w:tc>
        <w:tc>
          <w:tcPr>
            <w:tcW w:w="848" w:type="dxa"/>
            <w:shd w:val="clear" w:color="auto" w:fill="auto"/>
            <w:vAlign w:val="center"/>
          </w:tcPr>
          <w:p>
            <w:pPr>
              <w:pStyle w:val="178"/>
              <w:jc w:val="left"/>
              <w:rPr>
                <w:rFonts w:hint="eastAsia"/>
              </w:rPr>
            </w:pPr>
          </w:p>
        </w:tc>
      </w:tr>
      <w:tr>
        <w:tblPrEx>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CellMar>
            <w:top w:w="0" w:type="dxa"/>
            <w:left w:w="0" w:type="dxa"/>
            <w:bottom w:w="0" w:type="dxa"/>
            <w:right w:w="0" w:type="dxa"/>
          </w:tblCellMar>
        </w:tblPrEx>
        <w:trPr>
          <w:trHeight w:val="37" w:hRule="atLeast"/>
          <w:jc w:val="center"/>
        </w:trPr>
        <w:tc>
          <w:tcPr>
            <w:tcW w:w="1346" w:type="dxa"/>
            <w:vMerge w:val="continue"/>
            <w:tcBorders>
              <w:bottom w:val="single" w:color="auto" w:sz="4" w:space="0"/>
              <w:right w:val="single" w:color="auto" w:sz="4" w:space="0"/>
            </w:tcBorders>
            <w:shd w:val="clear" w:color="auto" w:fill="FFFFFF" w:themeFill="background1"/>
            <w:vAlign w:val="center"/>
          </w:tcPr>
          <w:p>
            <w:pPr>
              <w:pStyle w:val="178"/>
              <w:jc w:val="left"/>
              <w:rPr>
                <w:rFonts w:hint="eastAsia"/>
              </w:rPr>
            </w:pPr>
          </w:p>
        </w:tc>
        <w:tc>
          <w:tcPr>
            <w:tcW w:w="1300" w:type="dxa"/>
            <w:vMerge w:val="continue"/>
            <w:tcBorders>
              <w:left w:val="single" w:color="auto" w:sz="4" w:space="0"/>
              <w:bottom w:val="single" w:color="auto" w:sz="4" w:space="0"/>
              <w:right w:val="single" w:color="auto" w:sz="4" w:space="0"/>
            </w:tcBorders>
            <w:vAlign w:val="center"/>
          </w:tcPr>
          <w:p>
            <w:pPr>
              <w:pStyle w:val="178"/>
              <w:jc w:val="left"/>
              <w:rPr>
                <w:rFonts w:hint="eastAsia"/>
              </w:rPr>
            </w:pPr>
          </w:p>
        </w:tc>
        <w:tc>
          <w:tcPr>
            <w:tcW w:w="4660" w:type="dxa"/>
            <w:tcBorders>
              <w:left w:val="single" w:color="auto" w:sz="4" w:space="0"/>
            </w:tcBorders>
            <w:shd w:val="clear" w:color="auto" w:fill="auto"/>
            <w:vAlign w:val="center"/>
          </w:tcPr>
          <w:p>
            <w:pPr>
              <w:pStyle w:val="178"/>
              <w:jc w:val="left"/>
              <w:rPr>
                <w:rFonts w:hint="eastAsia"/>
              </w:rPr>
            </w:pPr>
            <w:r>
              <w:rPr>
                <w:rFonts w:hint="eastAsia"/>
              </w:rPr>
              <w:t>定期评审相关方的需求和期望 ，以及经营者的响应措施 ，确保随着外部环境和内部条件的变化而更新</w:t>
            </w:r>
          </w:p>
        </w:tc>
        <w:tc>
          <w:tcPr>
            <w:tcW w:w="848" w:type="dxa"/>
            <w:shd w:val="clear" w:color="auto" w:fill="auto"/>
            <w:vAlign w:val="center"/>
          </w:tcPr>
          <w:p>
            <w:pPr>
              <w:pStyle w:val="178"/>
              <w:jc w:val="left"/>
              <w:rPr>
                <w:rFonts w:hint="eastAsia"/>
              </w:rPr>
            </w:pPr>
          </w:p>
        </w:tc>
      </w:tr>
      <w:tr>
        <w:tblPrEx>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CellMar>
            <w:top w:w="0" w:type="dxa"/>
            <w:left w:w="0" w:type="dxa"/>
            <w:bottom w:w="0" w:type="dxa"/>
            <w:right w:w="0" w:type="dxa"/>
          </w:tblCellMar>
        </w:tblPrEx>
        <w:trPr>
          <w:trHeight w:val="112" w:hRule="atLeast"/>
          <w:jc w:val="center"/>
        </w:trPr>
        <w:tc>
          <w:tcPr>
            <w:tcW w:w="1346" w:type="dxa"/>
            <w:vMerge w:val="continue"/>
            <w:tcBorders>
              <w:top w:val="single" w:color="auto" w:sz="4" w:space="0"/>
              <w:bottom w:val="single" w:color="auto" w:sz="4" w:space="0"/>
              <w:right w:val="single" w:color="auto" w:sz="4" w:space="0"/>
            </w:tcBorders>
            <w:shd w:val="clear" w:color="auto" w:fill="FFFFFF" w:themeFill="background1"/>
            <w:vAlign w:val="center"/>
          </w:tcPr>
          <w:p>
            <w:pPr>
              <w:pStyle w:val="178"/>
              <w:rPr>
                <w:rFonts w:hint="eastAsia"/>
              </w:rPr>
            </w:pPr>
          </w:p>
        </w:tc>
        <w:tc>
          <w:tcPr>
            <w:tcW w:w="1300" w:type="dxa"/>
            <w:vMerge w:val="restart"/>
            <w:tcBorders>
              <w:top w:val="single" w:color="auto" w:sz="4" w:space="0"/>
              <w:left w:val="single" w:color="auto" w:sz="4" w:space="0"/>
              <w:right w:val="single" w:color="auto" w:sz="4" w:space="0"/>
            </w:tcBorders>
            <w:vAlign w:val="center"/>
          </w:tcPr>
          <w:p>
            <w:pPr>
              <w:pStyle w:val="178"/>
              <w:rPr>
                <w:rFonts w:hint="eastAsia"/>
              </w:rPr>
            </w:pPr>
            <w:r>
              <w:rPr>
                <w:rFonts w:hint="eastAsia" w:hAnsi="宋体"/>
              </w:rPr>
              <w:t>合规管理体系的范围</w:t>
            </w:r>
          </w:p>
        </w:tc>
        <w:tc>
          <w:tcPr>
            <w:tcW w:w="4660" w:type="dxa"/>
            <w:tcBorders>
              <w:left w:val="single" w:color="auto" w:sz="4" w:space="0"/>
            </w:tcBorders>
            <w:shd w:val="clear" w:color="auto" w:fill="auto"/>
            <w:vAlign w:val="center"/>
          </w:tcPr>
          <w:p>
            <w:pPr>
              <w:pStyle w:val="178"/>
              <w:jc w:val="left"/>
              <w:rPr>
                <w:rFonts w:hint="default" w:eastAsia="宋体"/>
                <w:lang w:val="en-US" w:eastAsia="zh-CN"/>
              </w:rPr>
            </w:pPr>
            <w:r>
              <w:rPr>
                <w:rFonts w:hint="eastAsia"/>
                <w:lang w:val="en-US" w:eastAsia="zh-CN"/>
              </w:rPr>
              <w:t>确定反垄断合规管理的范围是否适应反垄断合规管理需要</w:t>
            </w:r>
          </w:p>
        </w:tc>
        <w:tc>
          <w:tcPr>
            <w:tcW w:w="848" w:type="dxa"/>
            <w:shd w:val="clear" w:color="auto" w:fill="auto"/>
            <w:vAlign w:val="center"/>
          </w:tcPr>
          <w:p>
            <w:pPr>
              <w:pStyle w:val="178"/>
              <w:rPr>
                <w:rFonts w:hint="eastAsia"/>
              </w:rPr>
            </w:pPr>
          </w:p>
        </w:tc>
      </w:tr>
      <w:tr>
        <w:tblPrEx>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CellMar>
            <w:top w:w="0" w:type="dxa"/>
            <w:left w:w="0" w:type="dxa"/>
            <w:bottom w:w="0" w:type="dxa"/>
            <w:right w:w="0" w:type="dxa"/>
          </w:tblCellMar>
        </w:tblPrEx>
        <w:trPr>
          <w:trHeight w:val="112" w:hRule="atLeast"/>
          <w:jc w:val="center"/>
        </w:trPr>
        <w:tc>
          <w:tcPr>
            <w:tcW w:w="1346" w:type="dxa"/>
            <w:vMerge w:val="continue"/>
            <w:tcBorders>
              <w:bottom w:val="single" w:color="auto" w:sz="4" w:space="0"/>
              <w:right w:val="single" w:color="auto" w:sz="4" w:space="0"/>
            </w:tcBorders>
            <w:shd w:val="clear" w:color="auto" w:fill="FFFFFF" w:themeFill="background1"/>
            <w:vAlign w:val="center"/>
          </w:tcPr>
          <w:p>
            <w:pPr>
              <w:pStyle w:val="178"/>
              <w:jc w:val="left"/>
            </w:pPr>
          </w:p>
        </w:tc>
        <w:tc>
          <w:tcPr>
            <w:tcW w:w="1300" w:type="dxa"/>
            <w:vMerge w:val="continue"/>
            <w:tcBorders>
              <w:left w:val="single" w:color="auto" w:sz="4" w:space="0"/>
              <w:bottom w:val="single" w:color="auto" w:sz="4" w:space="0"/>
              <w:right w:val="single" w:color="auto" w:sz="4" w:space="0"/>
            </w:tcBorders>
            <w:vAlign w:val="center"/>
          </w:tcPr>
          <w:p>
            <w:pPr>
              <w:pStyle w:val="178"/>
              <w:jc w:val="left"/>
            </w:pPr>
          </w:p>
        </w:tc>
        <w:tc>
          <w:tcPr>
            <w:tcW w:w="4660" w:type="dxa"/>
            <w:tcBorders>
              <w:left w:val="single" w:color="auto" w:sz="4" w:space="0"/>
            </w:tcBorders>
            <w:shd w:val="clear" w:color="auto" w:fill="auto"/>
            <w:vAlign w:val="center"/>
          </w:tcPr>
          <w:p>
            <w:pPr>
              <w:pStyle w:val="178"/>
              <w:jc w:val="left"/>
              <w:rPr>
                <w:rFonts w:hint="default" w:eastAsia="宋体"/>
                <w:lang w:val="en-US" w:eastAsia="zh-CN"/>
              </w:rPr>
            </w:pPr>
            <w:r>
              <w:rPr>
                <w:rFonts w:hint="eastAsia"/>
                <w:lang w:val="en-US" w:eastAsia="zh-CN"/>
              </w:rPr>
              <w:t>将反垄断管理的范围文件化，以便明确经营者反垄断合规管理的基础和边界</w:t>
            </w:r>
          </w:p>
        </w:tc>
        <w:tc>
          <w:tcPr>
            <w:tcW w:w="848" w:type="dxa"/>
            <w:shd w:val="clear" w:color="auto" w:fill="auto"/>
            <w:vAlign w:val="center"/>
          </w:tcPr>
          <w:p>
            <w:pPr>
              <w:pStyle w:val="178"/>
              <w:jc w:val="left"/>
              <w:rPr>
                <w:rFonts w:hint="eastAsia"/>
              </w:rPr>
            </w:pPr>
          </w:p>
        </w:tc>
      </w:tr>
      <w:tr>
        <w:tblPrEx>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CellMar>
            <w:top w:w="0" w:type="dxa"/>
            <w:left w:w="0" w:type="dxa"/>
            <w:bottom w:w="0" w:type="dxa"/>
            <w:right w:w="0" w:type="dxa"/>
          </w:tblCellMar>
        </w:tblPrEx>
        <w:trPr>
          <w:trHeight w:val="28" w:hRule="atLeast"/>
          <w:jc w:val="center"/>
        </w:trPr>
        <w:tc>
          <w:tcPr>
            <w:tcW w:w="1346" w:type="dxa"/>
            <w:vMerge w:val="continue"/>
            <w:tcBorders>
              <w:top w:val="single" w:color="auto" w:sz="4" w:space="0"/>
              <w:bottom w:val="single" w:color="auto" w:sz="4" w:space="0"/>
              <w:right w:val="single" w:color="auto" w:sz="4" w:space="0"/>
            </w:tcBorders>
            <w:shd w:val="clear" w:color="auto" w:fill="FFFFFF" w:themeFill="background1"/>
            <w:vAlign w:val="center"/>
          </w:tcPr>
          <w:p>
            <w:pPr>
              <w:pStyle w:val="178"/>
              <w:rPr>
                <w:rFonts w:hint="eastAsia"/>
              </w:rPr>
            </w:pPr>
          </w:p>
        </w:tc>
        <w:tc>
          <w:tcPr>
            <w:tcW w:w="1300" w:type="dxa"/>
            <w:vMerge w:val="restart"/>
            <w:tcBorders>
              <w:top w:val="single" w:color="auto" w:sz="4" w:space="0"/>
              <w:left w:val="single" w:color="auto" w:sz="4" w:space="0"/>
              <w:right w:val="single" w:color="auto" w:sz="4" w:space="0"/>
            </w:tcBorders>
            <w:vAlign w:val="center"/>
          </w:tcPr>
          <w:p>
            <w:pPr>
              <w:pStyle w:val="178"/>
              <w:rPr>
                <w:rFonts w:hint="default" w:eastAsia="宋体"/>
                <w:lang w:val="en-US" w:eastAsia="zh-CN"/>
              </w:rPr>
            </w:pPr>
            <w:r>
              <w:rPr>
                <w:rFonts w:hint="eastAsia" w:hAnsi="宋体"/>
              </w:rPr>
              <w:t>合规</w:t>
            </w:r>
            <w:r>
              <w:rPr>
                <w:rFonts w:hint="eastAsia" w:hAnsi="宋体"/>
                <w:lang w:val="en-US" w:eastAsia="zh-CN"/>
              </w:rPr>
              <w:t>管理过程</w:t>
            </w:r>
          </w:p>
        </w:tc>
        <w:tc>
          <w:tcPr>
            <w:tcW w:w="4660" w:type="dxa"/>
            <w:tcBorders>
              <w:left w:val="single" w:color="auto" w:sz="4" w:space="0"/>
              <w:bottom w:val="single" w:color="auto" w:sz="4" w:space="0"/>
            </w:tcBorders>
            <w:shd w:val="clear" w:color="auto" w:fill="auto"/>
            <w:vAlign w:val="center"/>
          </w:tcPr>
          <w:p>
            <w:pPr>
              <w:pStyle w:val="178"/>
              <w:jc w:val="left"/>
              <w:rPr>
                <w:rFonts w:hint="eastAsia"/>
              </w:rPr>
            </w:pPr>
            <w:r>
              <w:rPr>
                <w:rFonts w:hint="eastAsia"/>
              </w:rPr>
              <w:t>明确所有与反垄断合规相关的过程 ，并识别这些过程的输入和预期输出</w:t>
            </w:r>
          </w:p>
        </w:tc>
        <w:tc>
          <w:tcPr>
            <w:tcW w:w="848" w:type="dxa"/>
            <w:shd w:val="clear" w:color="auto" w:fill="auto"/>
            <w:vAlign w:val="center"/>
          </w:tcPr>
          <w:p>
            <w:pPr>
              <w:pStyle w:val="178"/>
              <w:rPr>
                <w:rFonts w:hint="eastAsia"/>
              </w:rPr>
            </w:pPr>
          </w:p>
        </w:tc>
      </w:tr>
      <w:tr>
        <w:tblPrEx>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CellMar>
            <w:top w:w="0" w:type="dxa"/>
            <w:left w:w="0" w:type="dxa"/>
            <w:bottom w:w="0" w:type="dxa"/>
            <w:right w:w="0" w:type="dxa"/>
          </w:tblCellMar>
        </w:tblPrEx>
        <w:trPr>
          <w:trHeight w:val="28" w:hRule="atLeast"/>
          <w:jc w:val="center"/>
        </w:trPr>
        <w:tc>
          <w:tcPr>
            <w:tcW w:w="1346" w:type="dxa"/>
            <w:vMerge w:val="continue"/>
            <w:tcBorders>
              <w:top w:val="single" w:color="auto" w:sz="4" w:space="0"/>
              <w:bottom w:val="single" w:color="auto" w:sz="4" w:space="0"/>
              <w:right w:val="single" w:color="auto" w:sz="4" w:space="0"/>
            </w:tcBorders>
            <w:shd w:val="clear" w:color="auto" w:fill="FFFFFF" w:themeFill="background1"/>
            <w:vAlign w:val="center"/>
          </w:tcPr>
          <w:p>
            <w:pPr>
              <w:pStyle w:val="178"/>
              <w:jc w:val="left"/>
            </w:pPr>
          </w:p>
        </w:tc>
        <w:tc>
          <w:tcPr>
            <w:tcW w:w="1300" w:type="dxa"/>
            <w:vMerge w:val="continue"/>
            <w:tcBorders>
              <w:left w:val="single" w:color="auto" w:sz="4" w:space="0"/>
              <w:right w:val="single" w:color="auto" w:sz="4" w:space="0"/>
            </w:tcBorders>
            <w:vAlign w:val="center"/>
          </w:tcPr>
          <w:p>
            <w:pPr>
              <w:pStyle w:val="178"/>
              <w:jc w:val="left"/>
            </w:pPr>
          </w:p>
        </w:tc>
        <w:tc>
          <w:tcPr>
            <w:tcW w:w="4660" w:type="dxa"/>
            <w:tcBorders>
              <w:left w:val="single" w:color="auto" w:sz="4" w:space="0"/>
              <w:bottom w:val="single" w:color="auto" w:sz="4" w:space="0"/>
            </w:tcBorders>
            <w:shd w:val="clear" w:color="auto" w:fill="auto"/>
            <w:vAlign w:val="center"/>
          </w:tcPr>
          <w:p>
            <w:pPr>
              <w:pStyle w:val="178"/>
              <w:jc w:val="left"/>
              <w:rPr>
                <w:rFonts w:hint="eastAsia"/>
              </w:rPr>
            </w:pPr>
            <w:r>
              <w:rPr>
                <w:rFonts w:hint="eastAsia"/>
              </w:rPr>
              <w:t>将反垄断合规的流程和程序进行文件化 ，确保所有相关人员都能查询和理解</w:t>
            </w:r>
          </w:p>
        </w:tc>
        <w:tc>
          <w:tcPr>
            <w:tcW w:w="848" w:type="dxa"/>
            <w:shd w:val="clear" w:color="auto" w:fill="auto"/>
            <w:vAlign w:val="center"/>
          </w:tcPr>
          <w:p>
            <w:pPr>
              <w:pStyle w:val="178"/>
              <w:jc w:val="left"/>
              <w:rPr>
                <w:rFonts w:hint="eastAsia"/>
              </w:rPr>
            </w:pPr>
          </w:p>
        </w:tc>
      </w:tr>
      <w:tr>
        <w:tblPrEx>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CellMar>
            <w:top w:w="0" w:type="dxa"/>
            <w:left w:w="0" w:type="dxa"/>
            <w:bottom w:w="0" w:type="dxa"/>
            <w:right w:w="0" w:type="dxa"/>
          </w:tblCellMar>
        </w:tblPrEx>
        <w:trPr>
          <w:trHeight w:val="28" w:hRule="atLeast"/>
          <w:jc w:val="center"/>
        </w:trPr>
        <w:tc>
          <w:tcPr>
            <w:tcW w:w="1346" w:type="dxa"/>
            <w:vMerge w:val="continue"/>
            <w:tcBorders>
              <w:top w:val="single" w:color="auto" w:sz="4" w:space="0"/>
              <w:bottom w:val="single" w:color="auto" w:sz="4" w:space="0"/>
              <w:right w:val="single" w:color="auto" w:sz="4" w:space="0"/>
            </w:tcBorders>
            <w:shd w:val="clear" w:color="auto" w:fill="FFFFFF" w:themeFill="background1"/>
            <w:vAlign w:val="center"/>
          </w:tcPr>
          <w:p>
            <w:pPr>
              <w:pStyle w:val="178"/>
              <w:jc w:val="left"/>
              <w:rPr>
                <w:rFonts w:hint="eastAsia"/>
              </w:rPr>
            </w:pPr>
          </w:p>
        </w:tc>
        <w:tc>
          <w:tcPr>
            <w:tcW w:w="1300" w:type="dxa"/>
            <w:vMerge w:val="continue"/>
            <w:tcBorders>
              <w:left w:val="single" w:color="auto" w:sz="4" w:space="0"/>
              <w:right w:val="single" w:color="auto" w:sz="4" w:space="0"/>
            </w:tcBorders>
            <w:vAlign w:val="center"/>
          </w:tcPr>
          <w:p>
            <w:pPr>
              <w:pStyle w:val="178"/>
              <w:jc w:val="left"/>
              <w:rPr>
                <w:rFonts w:hint="eastAsia"/>
              </w:rPr>
            </w:pPr>
          </w:p>
        </w:tc>
        <w:tc>
          <w:tcPr>
            <w:tcW w:w="4660" w:type="dxa"/>
            <w:tcBorders>
              <w:left w:val="single" w:color="auto" w:sz="4" w:space="0"/>
              <w:bottom w:val="single" w:color="auto" w:sz="4" w:space="0"/>
            </w:tcBorders>
            <w:shd w:val="clear" w:color="auto" w:fill="auto"/>
            <w:vAlign w:val="center"/>
          </w:tcPr>
          <w:p>
            <w:pPr>
              <w:pStyle w:val="178"/>
              <w:jc w:val="left"/>
              <w:rPr>
                <w:rFonts w:hint="eastAsia"/>
              </w:rPr>
            </w:pPr>
            <w:r>
              <w:rPr>
                <w:rFonts w:hint="eastAsia"/>
              </w:rPr>
              <w:t>确保反垄断合规过程在经营者内部得到有效实施 ，并与经营者的业务目标和战略相一致</w:t>
            </w:r>
          </w:p>
        </w:tc>
        <w:tc>
          <w:tcPr>
            <w:tcW w:w="848" w:type="dxa"/>
            <w:shd w:val="clear" w:color="auto" w:fill="auto"/>
            <w:vAlign w:val="center"/>
          </w:tcPr>
          <w:p>
            <w:pPr>
              <w:pStyle w:val="178"/>
              <w:jc w:val="left"/>
              <w:rPr>
                <w:rFonts w:hint="eastAsia"/>
              </w:rPr>
            </w:pPr>
          </w:p>
        </w:tc>
      </w:tr>
      <w:tr>
        <w:tblPrEx>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CellMar>
            <w:top w:w="0" w:type="dxa"/>
            <w:left w:w="0" w:type="dxa"/>
            <w:bottom w:w="0" w:type="dxa"/>
            <w:right w:w="0" w:type="dxa"/>
          </w:tblCellMar>
        </w:tblPrEx>
        <w:trPr>
          <w:trHeight w:val="28" w:hRule="atLeast"/>
          <w:jc w:val="center"/>
        </w:trPr>
        <w:tc>
          <w:tcPr>
            <w:tcW w:w="1346" w:type="dxa"/>
            <w:vMerge w:val="continue"/>
            <w:tcBorders>
              <w:top w:val="single" w:color="auto" w:sz="4" w:space="0"/>
              <w:bottom w:val="single" w:color="auto" w:sz="4" w:space="0"/>
              <w:right w:val="single" w:color="auto" w:sz="4" w:space="0"/>
            </w:tcBorders>
            <w:shd w:val="clear" w:color="auto" w:fill="FFFFFF" w:themeFill="background1"/>
            <w:vAlign w:val="center"/>
          </w:tcPr>
          <w:p>
            <w:pPr>
              <w:pStyle w:val="178"/>
              <w:jc w:val="left"/>
              <w:rPr>
                <w:rFonts w:hint="eastAsia"/>
              </w:rPr>
            </w:pPr>
          </w:p>
        </w:tc>
        <w:tc>
          <w:tcPr>
            <w:tcW w:w="1300" w:type="dxa"/>
            <w:vMerge w:val="continue"/>
            <w:tcBorders>
              <w:left w:val="single" w:color="auto" w:sz="4" w:space="0"/>
              <w:right w:val="single" w:color="auto" w:sz="4" w:space="0"/>
            </w:tcBorders>
            <w:vAlign w:val="center"/>
          </w:tcPr>
          <w:p>
            <w:pPr>
              <w:pStyle w:val="178"/>
              <w:jc w:val="left"/>
              <w:rPr>
                <w:rFonts w:hint="eastAsia"/>
              </w:rPr>
            </w:pPr>
          </w:p>
        </w:tc>
        <w:tc>
          <w:tcPr>
            <w:tcW w:w="4660" w:type="dxa"/>
            <w:tcBorders>
              <w:left w:val="single" w:color="auto" w:sz="4" w:space="0"/>
              <w:bottom w:val="single" w:color="auto" w:sz="4" w:space="0"/>
            </w:tcBorders>
            <w:shd w:val="clear" w:color="auto" w:fill="auto"/>
            <w:vAlign w:val="center"/>
          </w:tcPr>
          <w:p>
            <w:pPr>
              <w:pStyle w:val="178"/>
              <w:jc w:val="left"/>
              <w:rPr>
                <w:rFonts w:hint="eastAsia"/>
              </w:rPr>
            </w:pPr>
            <w:r>
              <w:rPr>
                <w:rFonts w:hint="eastAsia"/>
              </w:rPr>
              <w:t>为反垄断合规过程分配必要的资源 ，包括人力、技术和财务资源</w:t>
            </w:r>
          </w:p>
        </w:tc>
        <w:tc>
          <w:tcPr>
            <w:tcW w:w="848" w:type="dxa"/>
            <w:shd w:val="clear" w:color="auto" w:fill="auto"/>
            <w:vAlign w:val="center"/>
          </w:tcPr>
          <w:p>
            <w:pPr>
              <w:pStyle w:val="178"/>
              <w:jc w:val="left"/>
              <w:rPr>
                <w:rFonts w:hint="eastAsia"/>
              </w:rPr>
            </w:pPr>
          </w:p>
        </w:tc>
      </w:tr>
      <w:tr>
        <w:tblPrEx>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CellMar>
            <w:top w:w="0" w:type="dxa"/>
            <w:left w:w="0" w:type="dxa"/>
            <w:bottom w:w="0" w:type="dxa"/>
            <w:right w:w="0" w:type="dxa"/>
          </w:tblCellMar>
        </w:tblPrEx>
        <w:trPr>
          <w:trHeight w:val="28" w:hRule="atLeast"/>
          <w:jc w:val="center"/>
        </w:trPr>
        <w:tc>
          <w:tcPr>
            <w:tcW w:w="1346" w:type="dxa"/>
            <w:vMerge w:val="continue"/>
            <w:tcBorders>
              <w:top w:val="single" w:color="auto" w:sz="4" w:space="0"/>
              <w:bottom w:val="single" w:color="auto" w:sz="4" w:space="0"/>
              <w:right w:val="single" w:color="auto" w:sz="4" w:space="0"/>
            </w:tcBorders>
            <w:shd w:val="clear" w:color="auto" w:fill="FFFFFF" w:themeFill="background1"/>
            <w:vAlign w:val="center"/>
          </w:tcPr>
          <w:p>
            <w:pPr>
              <w:pStyle w:val="178"/>
              <w:jc w:val="left"/>
              <w:rPr>
                <w:rFonts w:hint="eastAsia"/>
              </w:rPr>
            </w:pPr>
          </w:p>
        </w:tc>
        <w:tc>
          <w:tcPr>
            <w:tcW w:w="1300" w:type="dxa"/>
            <w:vMerge w:val="continue"/>
            <w:tcBorders>
              <w:left w:val="single" w:color="auto" w:sz="4" w:space="0"/>
              <w:right w:val="single" w:color="auto" w:sz="4" w:space="0"/>
            </w:tcBorders>
            <w:vAlign w:val="center"/>
          </w:tcPr>
          <w:p>
            <w:pPr>
              <w:pStyle w:val="178"/>
              <w:jc w:val="left"/>
              <w:rPr>
                <w:rFonts w:hint="eastAsia"/>
              </w:rPr>
            </w:pPr>
          </w:p>
        </w:tc>
        <w:tc>
          <w:tcPr>
            <w:tcW w:w="4660" w:type="dxa"/>
            <w:tcBorders>
              <w:left w:val="single" w:color="auto" w:sz="4" w:space="0"/>
              <w:bottom w:val="single" w:color="auto" w:sz="4" w:space="0"/>
            </w:tcBorders>
            <w:shd w:val="clear" w:color="auto" w:fill="auto"/>
            <w:vAlign w:val="center"/>
          </w:tcPr>
          <w:p>
            <w:pPr>
              <w:pStyle w:val="178"/>
              <w:jc w:val="left"/>
              <w:rPr>
                <w:rFonts w:hint="eastAsia"/>
              </w:rPr>
            </w:pPr>
            <w:r>
              <w:rPr>
                <w:rFonts w:hint="eastAsia"/>
              </w:rPr>
              <w:t>明确各过程的职责和权限 ，并确保相关部门和员工了解其在反垄断合规管理中的角色</w:t>
            </w:r>
          </w:p>
        </w:tc>
        <w:tc>
          <w:tcPr>
            <w:tcW w:w="848" w:type="dxa"/>
            <w:shd w:val="clear" w:color="auto" w:fill="auto"/>
            <w:vAlign w:val="center"/>
          </w:tcPr>
          <w:p>
            <w:pPr>
              <w:pStyle w:val="178"/>
              <w:jc w:val="left"/>
              <w:rPr>
                <w:rFonts w:hint="eastAsia"/>
              </w:rPr>
            </w:pPr>
          </w:p>
        </w:tc>
      </w:tr>
      <w:tr>
        <w:tblPrEx>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CellMar>
            <w:top w:w="0" w:type="dxa"/>
            <w:left w:w="0" w:type="dxa"/>
            <w:bottom w:w="0" w:type="dxa"/>
            <w:right w:w="0" w:type="dxa"/>
          </w:tblCellMar>
        </w:tblPrEx>
        <w:trPr>
          <w:trHeight w:val="28" w:hRule="atLeast"/>
          <w:jc w:val="center"/>
        </w:trPr>
        <w:tc>
          <w:tcPr>
            <w:tcW w:w="1346" w:type="dxa"/>
            <w:vMerge w:val="continue"/>
            <w:tcBorders>
              <w:top w:val="single" w:color="auto" w:sz="4" w:space="0"/>
              <w:bottom w:val="single" w:color="auto" w:sz="4" w:space="0"/>
              <w:right w:val="single" w:color="auto" w:sz="4" w:space="0"/>
            </w:tcBorders>
            <w:shd w:val="clear" w:color="auto" w:fill="FFFFFF" w:themeFill="background1"/>
            <w:vAlign w:val="center"/>
          </w:tcPr>
          <w:p>
            <w:pPr>
              <w:pStyle w:val="178"/>
              <w:jc w:val="left"/>
              <w:rPr>
                <w:rFonts w:hint="eastAsia"/>
              </w:rPr>
            </w:pPr>
          </w:p>
        </w:tc>
        <w:tc>
          <w:tcPr>
            <w:tcW w:w="1300" w:type="dxa"/>
            <w:vMerge w:val="continue"/>
            <w:tcBorders>
              <w:left w:val="single" w:color="auto" w:sz="4" w:space="0"/>
              <w:right w:val="single" w:color="auto" w:sz="4" w:space="0"/>
            </w:tcBorders>
            <w:vAlign w:val="center"/>
          </w:tcPr>
          <w:p>
            <w:pPr>
              <w:pStyle w:val="178"/>
              <w:jc w:val="left"/>
              <w:rPr>
                <w:rFonts w:hint="eastAsia"/>
              </w:rPr>
            </w:pPr>
          </w:p>
        </w:tc>
        <w:tc>
          <w:tcPr>
            <w:tcW w:w="4660" w:type="dxa"/>
            <w:tcBorders>
              <w:left w:val="single" w:color="auto" w:sz="4" w:space="0"/>
              <w:bottom w:val="single" w:color="auto" w:sz="4" w:space="0"/>
            </w:tcBorders>
            <w:shd w:val="clear" w:color="auto" w:fill="auto"/>
            <w:vAlign w:val="center"/>
          </w:tcPr>
          <w:p>
            <w:pPr>
              <w:pStyle w:val="178"/>
              <w:jc w:val="left"/>
              <w:rPr>
                <w:rFonts w:hint="eastAsia"/>
              </w:rPr>
            </w:pPr>
            <w:r>
              <w:rPr>
                <w:rFonts w:hint="eastAsia"/>
              </w:rPr>
              <w:t>在过程中嵌入风险管理措施 ，确保能够识别、评价和控制</w:t>
            </w:r>
            <w:r>
              <w:rPr>
                <w:rFonts w:hint="eastAsia"/>
                <w:lang w:eastAsia="zh-CN"/>
              </w:rPr>
              <w:t>反垄断合规</w:t>
            </w:r>
            <w:r>
              <w:rPr>
                <w:rFonts w:hint="eastAsia"/>
              </w:rPr>
              <w:t>风险</w:t>
            </w:r>
          </w:p>
        </w:tc>
        <w:tc>
          <w:tcPr>
            <w:tcW w:w="848" w:type="dxa"/>
            <w:shd w:val="clear" w:color="auto" w:fill="auto"/>
            <w:vAlign w:val="center"/>
          </w:tcPr>
          <w:p>
            <w:pPr>
              <w:pStyle w:val="178"/>
              <w:jc w:val="left"/>
              <w:rPr>
                <w:rFonts w:hint="eastAsia"/>
              </w:rPr>
            </w:pPr>
          </w:p>
        </w:tc>
      </w:tr>
      <w:tr>
        <w:tblPrEx>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CellMar>
            <w:top w:w="0" w:type="dxa"/>
            <w:left w:w="0" w:type="dxa"/>
            <w:bottom w:w="0" w:type="dxa"/>
            <w:right w:w="0" w:type="dxa"/>
          </w:tblCellMar>
        </w:tblPrEx>
        <w:trPr>
          <w:trHeight w:val="28" w:hRule="atLeast"/>
          <w:jc w:val="center"/>
        </w:trPr>
        <w:tc>
          <w:tcPr>
            <w:tcW w:w="1346" w:type="dxa"/>
            <w:vMerge w:val="continue"/>
            <w:tcBorders>
              <w:top w:val="single" w:color="auto" w:sz="4" w:space="0"/>
              <w:bottom w:val="single" w:color="auto" w:sz="4" w:space="0"/>
              <w:right w:val="single" w:color="auto" w:sz="4" w:space="0"/>
            </w:tcBorders>
            <w:shd w:val="clear" w:color="auto" w:fill="FFFFFF" w:themeFill="background1"/>
            <w:vAlign w:val="center"/>
          </w:tcPr>
          <w:p>
            <w:pPr>
              <w:pStyle w:val="178"/>
              <w:jc w:val="left"/>
              <w:rPr>
                <w:rFonts w:hint="eastAsia"/>
              </w:rPr>
            </w:pPr>
          </w:p>
        </w:tc>
        <w:tc>
          <w:tcPr>
            <w:tcW w:w="1300" w:type="dxa"/>
            <w:vMerge w:val="continue"/>
            <w:tcBorders>
              <w:left w:val="single" w:color="auto" w:sz="4" w:space="0"/>
              <w:right w:val="single" w:color="auto" w:sz="4" w:space="0"/>
            </w:tcBorders>
            <w:vAlign w:val="center"/>
          </w:tcPr>
          <w:p>
            <w:pPr>
              <w:pStyle w:val="178"/>
              <w:jc w:val="left"/>
              <w:rPr>
                <w:rFonts w:hint="eastAsia"/>
              </w:rPr>
            </w:pPr>
          </w:p>
        </w:tc>
        <w:tc>
          <w:tcPr>
            <w:tcW w:w="4660" w:type="dxa"/>
            <w:tcBorders>
              <w:left w:val="single" w:color="auto" w:sz="4" w:space="0"/>
              <w:bottom w:val="single" w:color="auto" w:sz="4" w:space="0"/>
            </w:tcBorders>
            <w:shd w:val="clear" w:color="auto" w:fill="auto"/>
            <w:vAlign w:val="center"/>
          </w:tcPr>
          <w:p>
            <w:pPr>
              <w:pStyle w:val="178"/>
              <w:jc w:val="left"/>
              <w:rPr>
                <w:rFonts w:hint="eastAsia"/>
              </w:rPr>
            </w:pPr>
            <w:r>
              <w:rPr>
                <w:rFonts w:hint="eastAsia"/>
              </w:rPr>
              <w:t>定期监督和评审反垄断合规过程 ，确保其持续有效 ，并根据业务环境的变化进行调整</w:t>
            </w:r>
          </w:p>
        </w:tc>
        <w:tc>
          <w:tcPr>
            <w:tcW w:w="848" w:type="dxa"/>
            <w:shd w:val="clear" w:color="auto" w:fill="auto"/>
            <w:vAlign w:val="center"/>
          </w:tcPr>
          <w:p>
            <w:pPr>
              <w:pStyle w:val="178"/>
              <w:jc w:val="left"/>
              <w:rPr>
                <w:rFonts w:hint="eastAsia"/>
              </w:rPr>
            </w:pPr>
          </w:p>
        </w:tc>
      </w:tr>
      <w:tr>
        <w:tblPrEx>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CellMar>
            <w:top w:w="0" w:type="dxa"/>
            <w:left w:w="0" w:type="dxa"/>
            <w:bottom w:w="0" w:type="dxa"/>
            <w:right w:w="0" w:type="dxa"/>
          </w:tblCellMar>
        </w:tblPrEx>
        <w:trPr>
          <w:trHeight w:val="28" w:hRule="atLeast"/>
          <w:jc w:val="center"/>
        </w:trPr>
        <w:tc>
          <w:tcPr>
            <w:tcW w:w="1346" w:type="dxa"/>
            <w:vMerge w:val="continue"/>
            <w:tcBorders>
              <w:bottom w:val="single" w:color="auto" w:sz="4" w:space="0"/>
              <w:right w:val="single" w:color="auto" w:sz="4" w:space="0"/>
            </w:tcBorders>
            <w:shd w:val="clear" w:color="auto" w:fill="FFFFFF" w:themeFill="background1"/>
            <w:vAlign w:val="center"/>
          </w:tcPr>
          <w:p>
            <w:pPr>
              <w:pStyle w:val="178"/>
              <w:jc w:val="left"/>
              <w:rPr>
                <w:rFonts w:hint="eastAsia"/>
              </w:rPr>
            </w:pPr>
          </w:p>
        </w:tc>
        <w:tc>
          <w:tcPr>
            <w:tcW w:w="1300" w:type="dxa"/>
            <w:vMerge w:val="continue"/>
            <w:tcBorders>
              <w:left w:val="single" w:color="auto" w:sz="4" w:space="0"/>
              <w:bottom w:val="single" w:color="auto" w:sz="4" w:space="0"/>
              <w:right w:val="single" w:color="auto" w:sz="4" w:space="0"/>
            </w:tcBorders>
            <w:vAlign w:val="center"/>
          </w:tcPr>
          <w:p>
            <w:pPr>
              <w:pStyle w:val="178"/>
              <w:jc w:val="left"/>
              <w:rPr>
                <w:rFonts w:hint="eastAsia"/>
              </w:rPr>
            </w:pPr>
          </w:p>
        </w:tc>
        <w:tc>
          <w:tcPr>
            <w:tcW w:w="4660" w:type="dxa"/>
            <w:tcBorders>
              <w:left w:val="single" w:color="auto" w:sz="4" w:space="0"/>
              <w:bottom w:val="single" w:color="auto" w:sz="4" w:space="0"/>
            </w:tcBorders>
            <w:shd w:val="clear" w:color="auto" w:fill="auto"/>
            <w:vAlign w:val="center"/>
          </w:tcPr>
          <w:p>
            <w:pPr>
              <w:pStyle w:val="178"/>
              <w:jc w:val="left"/>
              <w:rPr>
                <w:rFonts w:hint="eastAsia"/>
              </w:rPr>
            </w:pPr>
            <w:r>
              <w:rPr>
                <w:rFonts w:hint="eastAsia"/>
              </w:rPr>
              <w:t>基于绩效评价和有效性评价的结果 ，不断寻求改进机会 ，提升反垄断合规管理的成熟度和效果</w:t>
            </w:r>
          </w:p>
        </w:tc>
        <w:tc>
          <w:tcPr>
            <w:tcW w:w="848" w:type="dxa"/>
            <w:tcBorders>
              <w:bottom w:val="single" w:color="auto" w:sz="4" w:space="0"/>
            </w:tcBorders>
            <w:shd w:val="clear" w:color="auto" w:fill="auto"/>
            <w:vAlign w:val="center"/>
          </w:tcPr>
          <w:p>
            <w:pPr>
              <w:pStyle w:val="178"/>
              <w:jc w:val="left"/>
              <w:rPr>
                <w:rFonts w:hint="eastAsia"/>
              </w:rPr>
            </w:pPr>
          </w:p>
        </w:tc>
      </w:tr>
      <w:tr>
        <w:tblPrEx>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CellMar>
            <w:top w:w="0" w:type="dxa"/>
            <w:left w:w="0" w:type="dxa"/>
            <w:bottom w:w="0" w:type="dxa"/>
            <w:right w:w="0" w:type="dxa"/>
          </w:tblCellMar>
        </w:tblPrEx>
        <w:trPr>
          <w:jc w:val="center"/>
        </w:trPr>
        <w:tc>
          <w:tcPr>
            <w:tcW w:w="1346" w:type="dxa"/>
            <w:vMerge w:val="restart"/>
            <w:tcBorders>
              <w:top w:val="single" w:color="auto" w:sz="4" w:space="0"/>
              <w:bottom w:val="single" w:color="auto" w:sz="4" w:space="0"/>
              <w:right w:val="single" w:color="auto" w:sz="4" w:space="0"/>
            </w:tcBorders>
            <w:shd w:val="clear" w:color="auto" w:fill="FFFFFF" w:themeFill="background1"/>
            <w:vAlign w:val="center"/>
          </w:tcPr>
          <w:p>
            <w:pPr>
              <w:pStyle w:val="178"/>
              <w:rPr>
                <w:rFonts w:hint="eastAsia"/>
              </w:rPr>
            </w:pPr>
            <w:r>
              <w:rPr>
                <w:rFonts w:hint="eastAsia"/>
              </w:rPr>
              <w:t>组织与支持</w:t>
            </w:r>
          </w:p>
        </w:tc>
        <w:tc>
          <w:tcPr>
            <w:tcW w:w="1300" w:type="dxa"/>
            <w:tcBorders>
              <w:top w:val="single" w:color="auto" w:sz="4" w:space="0"/>
              <w:left w:val="single" w:color="auto" w:sz="4" w:space="0"/>
              <w:bottom w:val="single" w:color="auto" w:sz="4" w:space="0"/>
              <w:right w:val="single" w:color="auto" w:sz="4" w:space="0"/>
            </w:tcBorders>
            <w:shd w:val="clear" w:color="auto" w:fill="E2EFD9" w:themeFill="accent6" w:themeFillTint="33"/>
            <w:vAlign w:val="center"/>
          </w:tcPr>
          <w:p>
            <w:pPr>
              <w:pStyle w:val="178"/>
              <w:rPr>
                <w:rFonts w:hint="eastAsia"/>
              </w:rPr>
            </w:pPr>
            <w:r>
              <w:rPr>
                <w:rFonts w:hint="eastAsia" w:hAnsi="宋体"/>
              </w:rPr>
              <w:t>最高管理层</w:t>
            </w:r>
          </w:p>
        </w:tc>
        <w:tc>
          <w:tcPr>
            <w:tcW w:w="4660" w:type="dxa"/>
            <w:tcBorders>
              <w:top w:val="single" w:color="auto" w:sz="4" w:space="0"/>
              <w:left w:val="single" w:color="auto" w:sz="4" w:space="0"/>
              <w:bottom w:val="single" w:color="auto" w:sz="4" w:space="0"/>
            </w:tcBorders>
            <w:shd w:val="clear" w:color="auto" w:fill="E2EFD9" w:themeFill="accent6" w:themeFillTint="33"/>
            <w:vAlign w:val="center"/>
          </w:tcPr>
          <w:p>
            <w:pPr>
              <w:pStyle w:val="178"/>
              <w:jc w:val="left"/>
              <w:rPr>
                <w:rFonts w:hint="default" w:eastAsia="宋体"/>
                <w:lang w:val="en-US" w:eastAsia="zh-CN"/>
              </w:rPr>
            </w:pPr>
            <w:r>
              <w:rPr>
                <w:rFonts w:hint="eastAsia"/>
              </w:rPr>
              <w:t>最高管理者应证实其对合规管理的领导作用和承诺 ，实现反垄断合规管理的</w:t>
            </w:r>
            <w:r>
              <w:rPr>
                <w:rFonts w:hint="eastAsia"/>
                <w:lang w:val="en-US" w:eastAsia="zh-CN"/>
              </w:rPr>
              <w:t>充分参与</w:t>
            </w:r>
          </w:p>
        </w:tc>
        <w:tc>
          <w:tcPr>
            <w:tcW w:w="848" w:type="dxa"/>
            <w:tcBorders>
              <w:top w:val="single" w:color="auto" w:sz="4" w:space="0"/>
              <w:bottom w:val="single" w:color="auto" w:sz="4" w:space="0"/>
            </w:tcBorders>
            <w:shd w:val="clear" w:color="auto" w:fill="E2EFD9" w:themeFill="accent6" w:themeFillTint="33"/>
            <w:vAlign w:val="center"/>
          </w:tcPr>
          <w:p>
            <w:pPr>
              <w:pStyle w:val="178"/>
              <w:rPr>
                <w:rFonts w:hint="eastAsia"/>
              </w:rPr>
            </w:pPr>
          </w:p>
        </w:tc>
      </w:tr>
      <w:tr>
        <w:tblPrEx>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CellMar>
            <w:top w:w="0" w:type="dxa"/>
            <w:left w:w="0" w:type="dxa"/>
            <w:bottom w:w="0" w:type="dxa"/>
            <w:right w:w="0" w:type="dxa"/>
          </w:tblCellMar>
        </w:tblPrEx>
        <w:trPr>
          <w:trHeight w:val="28" w:hRule="atLeast"/>
          <w:jc w:val="center"/>
        </w:trPr>
        <w:tc>
          <w:tcPr>
            <w:tcW w:w="1346" w:type="dxa"/>
            <w:vMerge w:val="continue"/>
            <w:tcBorders>
              <w:top w:val="single" w:color="auto" w:sz="4" w:space="0"/>
              <w:bottom w:val="single" w:color="auto" w:sz="4" w:space="0"/>
              <w:right w:val="single" w:color="auto" w:sz="4" w:space="0"/>
            </w:tcBorders>
            <w:shd w:val="clear" w:color="auto" w:fill="FFFFFF" w:themeFill="background1"/>
            <w:vAlign w:val="center"/>
          </w:tcPr>
          <w:p>
            <w:pPr>
              <w:pStyle w:val="178"/>
              <w:rPr>
                <w:rFonts w:hint="eastAsia"/>
              </w:rPr>
            </w:pPr>
          </w:p>
        </w:tc>
        <w:tc>
          <w:tcPr>
            <w:tcW w:w="1300" w:type="dxa"/>
            <w:vMerge w:val="restart"/>
            <w:tcBorders>
              <w:top w:val="single" w:color="auto" w:sz="4" w:space="0"/>
              <w:left w:val="single" w:color="auto" w:sz="4" w:space="0"/>
              <w:right w:val="single" w:color="auto" w:sz="4" w:space="0"/>
            </w:tcBorders>
            <w:shd w:val="clear" w:color="auto" w:fill="E2EFD9" w:themeFill="accent6" w:themeFillTint="33"/>
            <w:vAlign w:val="center"/>
          </w:tcPr>
          <w:p>
            <w:pPr>
              <w:pStyle w:val="178"/>
              <w:rPr>
                <w:rFonts w:hint="eastAsia"/>
              </w:rPr>
            </w:pPr>
            <w:r>
              <w:rPr>
                <w:rFonts w:hint="eastAsia"/>
                <w:lang w:val="en-US" w:eastAsia="zh-CN"/>
              </w:rPr>
              <w:t>合规治理机构及其他相关机构</w:t>
            </w:r>
            <w:r>
              <w:rPr>
                <w:rFonts w:hint="eastAsia" w:hAnsi="宋体"/>
              </w:rPr>
              <w:t>的职能与资源</w:t>
            </w:r>
          </w:p>
        </w:tc>
        <w:tc>
          <w:tcPr>
            <w:tcW w:w="4660" w:type="dxa"/>
            <w:tcBorders>
              <w:top w:val="single" w:color="auto" w:sz="4" w:space="0"/>
              <w:left w:val="single" w:color="auto" w:sz="4" w:space="0"/>
              <w:bottom w:val="single" w:color="auto" w:sz="4" w:space="0"/>
            </w:tcBorders>
            <w:shd w:val="clear" w:color="auto" w:fill="E2EFD9" w:themeFill="accent6" w:themeFillTint="33"/>
            <w:vAlign w:val="center"/>
          </w:tcPr>
          <w:p>
            <w:pPr>
              <w:pStyle w:val="178"/>
              <w:jc w:val="left"/>
              <w:rPr>
                <w:rFonts w:hint="default" w:eastAsia="宋体"/>
                <w:lang w:val="en-US" w:eastAsia="zh-CN"/>
              </w:rPr>
            </w:pPr>
            <w:r>
              <w:rPr>
                <w:rFonts w:hint="default" w:eastAsia="宋体"/>
                <w:lang w:val="en-US" w:eastAsia="zh-CN"/>
              </w:rPr>
              <w:t>建立反垄断合规管理机构或者任命合适人员、部门负责反垄断合规管理的实施和运作</w:t>
            </w:r>
          </w:p>
        </w:tc>
        <w:tc>
          <w:tcPr>
            <w:tcW w:w="848" w:type="dxa"/>
            <w:tcBorders>
              <w:top w:val="single" w:color="auto" w:sz="4" w:space="0"/>
            </w:tcBorders>
            <w:shd w:val="clear" w:color="auto" w:fill="E2EFD9" w:themeFill="accent6" w:themeFillTint="33"/>
            <w:vAlign w:val="center"/>
          </w:tcPr>
          <w:p>
            <w:pPr>
              <w:pStyle w:val="178"/>
              <w:rPr>
                <w:rFonts w:hint="eastAsia"/>
              </w:rPr>
            </w:pPr>
          </w:p>
        </w:tc>
      </w:tr>
      <w:tr>
        <w:tblPrEx>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CellMar>
            <w:top w:w="0" w:type="dxa"/>
            <w:left w:w="0" w:type="dxa"/>
            <w:bottom w:w="0" w:type="dxa"/>
            <w:right w:w="0" w:type="dxa"/>
          </w:tblCellMar>
        </w:tblPrEx>
        <w:trPr>
          <w:trHeight w:val="28" w:hRule="atLeast"/>
          <w:jc w:val="center"/>
        </w:trPr>
        <w:tc>
          <w:tcPr>
            <w:tcW w:w="1346" w:type="dxa"/>
            <w:vMerge w:val="continue"/>
            <w:tcBorders>
              <w:top w:val="single" w:color="auto" w:sz="4" w:space="0"/>
              <w:bottom w:val="single" w:color="auto" w:sz="4" w:space="0"/>
              <w:right w:val="single" w:color="auto" w:sz="4" w:space="0"/>
            </w:tcBorders>
            <w:shd w:val="clear" w:color="auto" w:fill="FFFFFF" w:themeFill="background1"/>
            <w:vAlign w:val="center"/>
          </w:tcPr>
          <w:p>
            <w:pPr>
              <w:pStyle w:val="178"/>
              <w:jc w:val="left"/>
            </w:pPr>
          </w:p>
        </w:tc>
        <w:tc>
          <w:tcPr>
            <w:tcW w:w="1300" w:type="dxa"/>
            <w:vMerge w:val="continue"/>
            <w:tcBorders>
              <w:left w:val="single" w:color="auto" w:sz="4" w:space="0"/>
              <w:right w:val="single" w:color="auto" w:sz="4" w:space="0"/>
            </w:tcBorders>
            <w:shd w:val="clear" w:color="auto" w:fill="E2EFD9" w:themeFill="accent6" w:themeFillTint="33"/>
            <w:vAlign w:val="center"/>
          </w:tcPr>
          <w:p>
            <w:pPr>
              <w:pStyle w:val="178"/>
              <w:jc w:val="left"/>
            </w:pPr>
          </w:p>
        </w:tc>
        <w:tc>
          <w:tcPr>
            <w:tcW w:w="4660" w:type="dxa"/>
            <w:tcBorders>
              <w:top w:val="single" w:color="auto" w:sz="4" w:space="0"/>
              <w:left w:val="single" w:color="auto" w:sz="4" w:space="0"/>
              <w:bottom w:val="single" w:color="auto" w:sz="4" w:space="0"/>
            </w:tcBorders>
            <w:shd w:val="clear" w:color="auto" w:fill="E2EFD9" w:themeFill="accent6" w:themeFillTint="33"/>
            <w:vAlign w:val="center"/>
          </w:tcPr>
          <w:p>
            <w:pPr>
              <w:pStyle w:val="178"/>
              <w:jc w:val="left"/>
              <w:rPr>
                <w:rFonts w:hint="default" w:eastAsia="宋体"/>
                <w:lang w:val="en-US" w:eastAsia="zh-CN"/>
              </w:rPr>
            </w:pPr>
            <w:r>
              <w:rPr>
                <w:rFonts w:hint="eastAsia"/>
              </w:rPr>
              <w:t>反垄断合规管理机构或者相关人员、部门应能够有效完成反垄断合规管理工作 ，</w:t>
            </w:r>
            <w:r>
              <w:rPr>
                <w:rFonts w:hint="eastAsia"/>
                <w:lang w:val="en-US" w:eastAsia="zh-CN"/>
              </w:rPr>
              <w:t>有明确的职责分工，</w:t>
            </w:r>
            <w:r>
              <w:rPr>
                <w:rFonts w:hint="eastAsia"/>
              </w:rPr>
              <w:t>并具备</w:t>
            </w:r>
            <w:r>
              <w:rPr>
                <w:rFonts w:hint="eastAsia"/>
                <w:lang w:val="en-US" w:eastAsia="zh-CN"/>
              </w:rPr>
              <w:t>相应条件。</w:t>
            </w:r>
          </w:p>
        </w:tc>
        <w:tc>
          <w:tcPr>
            <w:tcW w:w="848" w:type="dxa"/>
            <w:shd w:val="clear" w:color="auto" w:fill="E2EFD9" w:themeFill="accent6" w:themeFillTint="33"/>
            <w:vAlign w:val="center"/>
          </w:tcPr>
          <w:p>
            <w:pPr>
              <w:pStyle w:val="178"/>
              <w:jc w:val="left"/>
              <w:rPr>
                <w:rFonts w:hint="eastAsia"/>
              </w:rPr>
            </w:pPr>
          </w:p>
        </w:tc>
      </w:tr>
      <w:tr>
        <w:tblPrEx>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CellMar>
            <w:top w:w="0" w:type="dxa"/>
            <w:left w:w="0" w:type="dxa"/>
            <w:bottom w:w="0" w:type="dxa"/>
            <w:right w:w="0" w:type="dxa"/>
          </w:tblCellMar>
        </w:tblPrEx>
        <w:trPr>
          <w:trHeight w:val="28" w:hRule="atLeast"/>
          <w:jc w:val="center"/>
        </w:trPr>
        <w:tc>
          <w:tcPr>
            <w:tcW w:w="1346" w:type="dxa"/>
            <w:vMerge w:val="continue"/>
            <w:tcBorders>
              <w:top w:val="single" w:color="auto" w:sz="4" w:space="0"/>
              <w:bottom w:val="single" w:color="auto" w:sz="4" w:space="0"/>
              <w:right w:val="single" w:color="auto" w:sz="4" w:space="0"/>
            </w:tcBorders>
            <w:shd w:val="clear" w:color="auto" w:fill="FFFFFF" w:themeFill="background1"/>
            <w:vAlign w:val="center"/>
          </w:tcPr>
          <w:p>
            <w:pPr>
              <w:pStyle w:val="178"/>
              <w:jc w:val="left"/>
              <w:rPr>
                <w:rFonts w:hint="eastAsia"/>
              </w:rPr>
            </w:pPr>
          </w:p>
        </w:tc>
        <w:tc>
          <w:tcPr>
            <w:tcW w:w="1300" w:type="dxa"/>
            <w:vMerge w:val="continue"/>
            <w:tcBorders>
              <w:left w:val="single" w:color="auto" w:sz="4" w:space="0"/>
              <w:right w:val="single" w:color="auto" w:sz="4" w:space="0"/>
            </w:tcBorders>
            <w:shd w:val="clear" w:color="auto" w:fill="E2EFD9" w:themeFill="accent6" w:themeFillTint="33"/>
            <w:vAlign w:val="center"/>
          </w:tcPr>
          <w:p>
            <w:pPr>
              <w:pStyle w:val="178"/>
              <w:jc w:val="left"/>
              <w:rPr>
                <w:rFonts w:hint="eastAsia"/>
              </w:rPr>
            </w:pPr>
          </w:p>
        </w:tc>
        <w:tc>
          <w:tcPr>
            <w:tcW w:w="4660" w:type="dxa"/>
            <w:tcBorders>
              <w:top w:val="single" w:color="auto" w:sz="4" w:space="0"/>
              <w:left w:val="single" w:color="auto" w:sz="4" w:space="0"/>
              <w:bottom w:val="single" w:color="auto" w:sz="4" w:space="0"/>
            </w:tcBorders>
            <w:shd w:val="clear" w:color="auto" w:fill="E2EFD9" w:themeFill="accent6" w:themeFillTint="33"/>
            <w:vAlign w:val="center"/>
          </w:tcPr>
          <w:p>
            <w:pPr>
              <w:pStyle w:val="178"/>
              <w:jc w:val="left"/>
              <w:rPr>
                <w:rFonts w:hint="default" w:eastAsia="宋体"/>
                <w:lang w:val="en-US" w:eastAsia="zh-CN"/>
              </w:rPr>
            </w:pPr>
            <w:r>
              <w:rPr>
                <w:rFonts w:hint="eastAsia"/>
                <w:lang w:val="en-US" w:eastAsia="zh-CN"/>
              </w:rPr>
              <w:t>所有人员充分了解反垄断合规管理的重要性</w:t>
            </w:r>
          </w:p>
        </w:tc>
        <w:tc>
          <w:tcPr>
            <w:tcW w:w="848" w:type="dxa"/>
            <w:shd w:val="clear" w:color="auto" w:fill="E2EFD9" w:themeFill="accent6" w:themeFillTint="33"/>
            <w:vAlign w:val="center"/>
          </w:tcPr>
          <w:p>
            <w:pPr>
              <w:pStyle w:val="178"/>
              <w:jc w:val="left"/>
              <w:rPr>
                <w:rFonts w:hint="eastAsia"/>
              </w:rPr>
            </w:pPr>
          </w:p>
        </w:tc>
      </w:tr>
      <w:tr>
        <w:tblPrEx>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CellMar>
            <w:top w:w="0" w:type="dxa"/>
            <w:left w:w="0" w:type="dxa"/>
            <w:bottom w:w="0" w:type="dxa"/>
            <w:right w:w="0" w:type="dxa"/>
          </w:tblCellMar>
        </w:tblPrEx>
        <w:trPr>
          <w:trHeight w:val="28" w:hRule="atLeast"/>
          <w:jc w:val="center"/>
        </w:trPr>
        <w:tc>
          <w:tcPr>
            <w:tcW w:w="1346" w:type="dxa"/>
            <w:vMerge w:val="continue"/>
            <w:tcBorders>
              <w:top w:val="single" w:color="auto" w:sz="4" w:space="0"/>
              <w:bottom w:val="single" w:color="auto" w:sz="4" w:space="0"/>
              <w:right w:val="single" w:color="auto" w:sz="4" w:space="0"/>
            </w:tcBorders>
            <w:shd w:val="clear" w:color="auto" w:fill="FFFFFF" w:themeFill="background1"/>
            <w:vAlign w:val="center"/>
          </w:tcPr>
          <w:p>
            <w:pPr>
              <w:pStyle w:val="178"/>
              <w:jc w:val="left"/>
              <w:rPr>
                <w:rFonts w:hint="eastAsia"/>
              </w:rPr>
            </w:pPr>
          </w:p>
        </w:tc>
        <w:tc>
          <w:tcPr>
            <w:tcW w:w="1300" w:type="dxa"/>
            <w:vMerge w:val="continue"/>
            <w:tcBorders>
              <w:left w:val="single" w:color="auto" w:sz="4" w:space="0"/>
              <w:right w:val="single" w:color="auto" w:sz="4" w:space="0"/>
            </w:tcBorders>
            <w:shd w:val="clear" w:color="auto" w:fill="E2EFD9" w:themeFill="accent6" w:themeFillTint="33"/>
            <w:vAlign w:val="center"/>
          </w:tcPr>
          <w:p>
            <w:pPr>
              <w:pStyle w:val="178"/>
              <w:jc w:val="left"/>
              <w:rPr>
                <w:rFonts w:hint="eastAsia"/>
              </w:rPr>
            </w:pPr>
          </w:p>
        </w:tc>
        <w:tc>
          <w:tcPr>
            <w:tcW w:w="4660" w:type="dxa"/>
            <w:tcBorders>
              <w:top w:val="single" w:color="auto" w:sz="4" w:space="0"/>
              <w:left w:val="single" w:color="auto" w:sz="4" w:space="0"/>
              <w:bottom w:val="single" w:color="auto" w:sz="4" w:space="0"/>
            </w:tcBorders>
            <w:shd w:val="clear" w:color="auto" w:fill="E2EFD9" w:themeFill="accent6" w:themeFillTint="33"/>
            <w:vAlign w:val="center"/>
          </w:tcPr>
          <w:p>
            <w:pPr>
              <w:pStyle w:val="178"/>
              <w:jc w:val="left"/>
              <w:rPr>
                <w:rFonts w:hint="eastAsia"/>
              </w:rPr>
            </w:pPr>
            <w:r>
              <w:rPr>
                <w:rFonts w:hint="eastAsia"/>
                <w:lang w:val="en-US" w:eastAsia="zh-CN"/>
              </w:rPr>
              <w:t>所有人员充分了解自身岗位与反垄断合规的关系以及如何在日常工作中履行合规义务</w:t>
            </w:r>
          </w:p>
        </w:tc>
        <w:tc>
          <w:tcPr>
            <w:tcW w:w="848" w:type="dxa"/>
            <w:shd w:val="clear" w:color="auto" w:fill="E2EFD9" w:themeFill="accent6" w:themeFillTint="33"/>
            <w:vAlign w:val="center"/>
          </w:tcPr>
          <w:p>
            <w:pPr>
              <w:pStyle w:val="178"/>
              <w:jc w:val="left"/>
              <w:rPr>
                <w:rFonts w:hint="eastAsia"/>
              </w:rPr>
            </w:pPr>
          </w:p>
        </w:tc>
      </w:tr>
      <w:tr>
        <w:tblPrEx>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CellMar>
            <w:top w:w="0" w:type="dxa"/>
            <w:left w:w="0" w:type="dxa"/>
            <w:bottom w:w="0" w:type="dxa"/>
            <w:right w:w="0" w:type="dxa"/>
          </w:tblCellMar>
        </w:tblPrEx>
        <w:trPr>
          <w:trHeight w:val="28" w:hRule="atLeast"/>
          <w:jc w:val="center"/>
        </w:trPr>
        <w:tc>
          <w:tcPr>
            <w:tcW w:w="1346" w:type="dxa"/>
            <w:vMerge w:val="continue"/>
            <w:tcBorders>
              <w:top w:val="single" w:color="auto" w:sz="4" w:space="0"/>
              <w:bottom w:val="single" w:color="auto" w:sz="4" w:space="0"/>
              <w:right w:val="single" w:color="auto" w:sz="4" w:space="0"/>
            </w:tcBorders>
            <w:shd w:val="clear" w:color="auto" w:fill="FFFFFF" w:themeFill="background1"/>
            <w:vAlign w:val="center"/>
          </w:tcPr>
          <w:p>
            <w:pPr>
              <w:pStyle w:val="178"/>
              <w:jc w:val="left"/>
              <w:rPr>
                <w:rFonts w:hint="eastAsia"/>
              </w:rPr>
            </w:pPr>
          </w:p>
        </w:tc>
        <w:tc>
          <w:tcPr>
            <w:tcW w:w="1300" w:type="dxa"/>
            <w:vMerge w:val="continue"/>
            <w:tcBorders>
              <w:left w:val="single" w:color="auto" w:sz="4" w:space="0"/>
              <w:right w:val="single" w:color="auto" w:sz="4" w:space="0"/>
            </w:tcBorders>
            <w:shd w:val="clear" w:color="auto" w:fill="E2EFD9" w:themeFill="accent6" w:themeFillTint="33"/>
            <w:vAlign w:val="center"/>
          </w:tcPr>
          <w:p>
            <w:pPr>
              <w:pStyle w:val="178"/>
              <w:jc w:val="left"/>
              <w:rPr>
                <w:rFonts w:hint="eastAsia"/>
              </w:rPr>
            </w:pPr>
          </w:p>
        </w:tc>
        <w:tc>
          <w:tcPr>
            <w:tcW w:w="4660" w:type="dxa"/>
            <w:tcBorders>
              <w:top w:val="single" w:color="auto" w:sz="4" w:space="0"/>
              <w:left w:val="single" w:color="auto" w:sz="4" w:space="0"/>
              <w:bottom w:val="single" w:color="auto" w:sz="4" w:space="0"/>
            </w:tcBorders>
            <w:shd w:val="clear" w:color="auto" w:fill="E2EFD9" w:themeFill="accent6" w:themeFillTint="33"/>
            <w:vAlign w:val="center"/>
          </w:tcPr>
          <w:p>
            <w:pPr>
              <w:pStyle w:val="178"/>
              <w:jc w:val="left"/>
              <w:rPr>
                <w:rFonts w:hint="eastAsia"/>
              </w:rPr>
            </w:pPr>
            <w:r>
              <w:rPr>
                <w:rFonts w:hint="eastAsia"/>
                <w:lang w:val="en-US" w:eastAsia="zh-CN"/>
              </w:rPr>
              <w:t>所有人员充分了解不符合反垄断合规管理要求的后果与责任</w:t>
            </w:r>
          </w:p>
        </w:tc>
        <w:tc>
          <w:tcPr>
            <w:tcW w:w="848" w:type="dxa"/>
            <w:shd w:val="clear" w:color="auto" w:fill="E2EFD9" w:themeFill="accent6" w:themeFillTint="33"/>
            <w:vAlign w:val="center"/>
          </w:tcPr>
          <w:p>
            <w:pPr>
              <w:pStyle w:val="178"/>
              <w:jc w:val="left"/>
              <w:rPr>
                <w:rFonts w:hint="eastAsia"/>
              </w:rPr>
            </w:pPr>
          </w:p>
        </w:tc>
      </w:tr>
      <w:tr>
        <w:tblPrEx>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CellMar>
            <w:top w:w="0" w:type="dxa"/>
            <w:left w:w="0" w:type="dxa"/>
            <w:bottom w:w="0" w:type="dxa"/>
            <w:right w:w="0" w:type="dxa"/>
          </w:tblCellMar>
        </w:tblPrEx>
        <w:trPr>
          <w:trHeight w:val="28" w:hRule="atLeast"/>
          <w:jc w:val="center"/>
        </w:trPr>
        <w:tc>
          <w:tcPr>
            <w:tcW w:w="1346" w:type="dxa"/>
            <w:vMerge w:val="continue"/>
            <w:tcBorders>
              <w:top w:val="single" w:color="auto" w:sz="4" w:space="0"/>
              <w:bottom w:val="single" w:color="auto" w:sz="4" w:space="0"/>
              <w:right w:val="single" w:color="auto" w:sz="4" w:space="0"/>
            </w:tcBorders>
            <w:shd w:val="clear" w:color="auto" w:fill="FFFFFF" w:themeFill="background1"/>
            <w:vAlign w:val="center"/>
          </w:tcPr>
          <w:p>
            <w:pPr>
              <w:pStyle w:val="178"/>
              <w:jc w:val="left"/>
              <w:rPr>
                <w:rFonts w:hint="eastAsia"/>
              </w:rPr>
            </w:pPr>
          </w:p>
        </w:tc>
        <w:tc>
          <w:tcPr>
            <w:tcW w:w="1300" w:type="dxa"/>
            <w:vMerge w:val="continue"/>
            <w:tcBorders>
              <w:left w:val="single" w:color="auto" w:sz="4" w:space="0"/>
              <w:right w:val="single" w:color="auto" w:sz="4" w:space="0"/>
            </w:tcBorders>
            <w:shd w:val="clear" w:color="auto" w:fill="E2EFD9" w:themeFill="accent6" w:themeFillTint="33"/>
            <w:vAlign w:val="center"/>
          </w:tcPr>
          <w:p>
            <w:pPr>
              <w:pStyle w:val="178"/>
              <w:jc w:val="left"/>
              <w:rPr>
                <w:rFonts w:hint="eastAsia"/>
              </w:rPr>
            </w:pPr>
          </w:p>
        </w:tc>
        <w:tc>
          <w:tcPr>
            <w:tcW w:w="4660" w:type="dxa"/>
            <w:tcBorders>
              <w:top w:val="single" w:color="auto" w:sz="4" w:space="0"/>
              <w:left w:val="single" w:color="auto" w:sz="4" w:space="0"/>
              <w:bottom w:val="single" w:color="auto" w:sz="4" w:space="0"/>
            </w:tcBorders>
            <w:shd w:val="clear" w:color="auto" w:fill="E2EFD9" w:themeFill="accent6" w:themeFillTint="33"/>
            <w:vAlign w:val="center"/>
          </w:tcPr>
          <w:p>
            <w:pPr>
              <w:pStyle w:val="178"/>
              <w:jc w:val="left"/>
              <w:rPr>
                <w:rFonts w:hint="eastAsia"/>
              </w:rPr>
            </w:pPr>
            <w:r>
              <w:rPr>
                <w:rFonts w:hint="eastAsia"/>
                <w:lang w:eastAsia="zh-CN"/>
              </w:rPr>
              <w:t>反垄断合规</w:t>
            </w:r>
            <w:r>
              <w:rPr>
                <w:rFonts w:hint="eastAsia"/>
              </w:rPr>
              <w:t>目标应可测量、可监督 ，适时评价和更新 ，并作为文件化信息可获取</w:t>
            </w:r>
          </w:p>
        </w:tc>
        <w:tc>
          <w:tcPr>
            <w:tcW w:w="848" w:type="dxa"/>
            <w:shd w:val="clear" w:color="auto" w:fill="E2EFD9" w:themeFill="accent6" w:themeFillTint="33"/>
            <w:vAlign w:val="center"/>
          </w:tcPr>
          <w:p>
            <w:pPr>
              <w:pStyle w:val="178"/>
              <w:jc w:val="left"/>
              <w:rPr>
                <w:rFonts w:hint="eastAsia"/>
              </w:rPr>
            </w:pPr>
          </w:p>
        </w:tc>
      </w:tr>
      <w:tr>
        <w:tblPrEx>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CellMar>
            <w:top w:w="0" w:type="dxa"/>
            <w:left w:w="0" w:type="dxa"/>
            <w:bottom w:w="0" w:type="dxa"/>
            <w:right w:w="0" w:type="dxa"/>
          </w:tblCellMar>
        </w:tblPrEx>
        <w:trPr>
          <w:trHeight w:val="28" w:hRule="atLeast"/>
          <w:jc w:val="center"/>
        </w:trPr>
        <w:tc>
          <w:tcPr>
            <w:tcW w:w="1346" w:type="dxa"/>
            <w:vMerge w:val="continue"/>
            <w:tcBorders>
              <w:top w:val="single" w:color="auto" w:sz="4" w:space="0"/>
              <w:bottom w:val="single" w:color="auto" w:sz="4" w:space="0"/>
              <w:right w:val="single" w:color="auto" w:sz="4" w:space="0"/>
            </w:tcBorders>
            <w:shd w:val="clear" w:color="auto" w:fill="FFFFFF" w:themeFill="background1"/>
            <w:vAlign w:val="center"/>
          </w:tcPr>
          <w:p>
            <w:pPr>
              <w:pStyle w:val="178"/>
              <w:jc w:val="left"/>
              <w:rPr>
                <w:rFonts w:hint="eastAsia"/>
              </w:rPr>
            </w:pPr>
          </w:p>
        </w:tc>
        <w:tc>
          <w:tcPr>
            <w:tcW w:w="1300" w:type="dxa"/>
            <w:vMerge w:val="continue"/>
            <w:tcBorders>
              <w:left w:val="single" w:color="auto" w:sz="4" w:space="0"/>
              <w:right w:val="single" w:color="auto" w:sz="4" w:space="0"/>
            </w:tcBorders>
            <w:shd w:val="clear" w:color="auto" w:fill="E2EFD9" w:themeFill="accent6" w:themeFillTint="33"/>
            <w:vAlign w:val="center"/>
          </w:tcPr>
          <w:p>
            <w:pPr>
              <w:pStyle w:val="178"/>
              <w:jc w:val="left"/>
              <w:rPr>
                <w:rFonts w:hint="eastAsia"/>
              </w:rPr>
            </w:pPr>
          </w:p>
        </w:tc>
        <w:tc>
          <w:tcPr>
            <w:tcW w:w="4660" w:type="dxa"/>
            <w:tcBorders>
              <w:top w:val="single" w:color="auto" w:sz="4" w:space="0"/>
              <w:left w:val="single" w:color="auto" w:sz="4" w:space="0"/>
              <w:bottom w:val="single" w:color="auto" w:sz="4" w:space="0"/>
            </w:tcBorders>
            <w:shd w:val="clear" w:color="auto" w:fill="E2EFD9" w:themeFill="accent6" w:themeFillTint="33"/>
            <w:vAlign w:val="center"/>
          </w:tcPr>
          <w:p>
            <w:pPr>
              <w:pStyle w:val="178"/>
              <w:jc w:val="left"/>
              <w:rPr>
                <w:rFonts w:hint="eastAsia"/>
              </w:rPr>
            </w:pPr>
            <w:r>
              <w:rPr>
                <w:rFonts w:hint="eastAsia"/>
              </w:rPr>
              <w:t>合规目标确定了经营者</w:t>
            </w:r>
            <w:r>
              <w:rPr>
                <w:rFonts w:hint="eastAsia"/>
                <w:lang w:eastAsia="zh-CN"/>
              </w:rPr>
              <w:t>反垄断合规</w:t>
            </w:r>
            <w:r>
              <w:rPr>
                <w:rFonts w:hint="eastAsia"/>
              </w:rPr>
              <w:t>管理实现的结果 ，经营者应在相关职能和层级上确立</w:t>
            </w:r>
            <w:r>
              <w:rPr>
                <w:rFonts w:hint="eastAsia"/>
                <w:lang w:eastAsia="zh-CN"/>
              </w:rPr>
              <w:t>反垄断合规</w:t>
            </w:r>
            <w:r>
              <w:rPr>
                <w:rFonts w:hint="eastAsia"/>
              </w:rPr>
              <w:t xml:space="preserve">目标 </w:t>
            </w:r>
          </w:p>
        </w:tc>
        <w:tc>
          <w:tcPr>
            <w:tcW w:w="848" w:type="dxa"/>
            <w:shd w:val="clear" w:color="auto" w:fill="E2EFD9" w:themeFill="accent6" w:themeFillTint="33"/>
            <w:vAlign w:val="center"/>
          </w:tcPr>
          <w:p>
            <w:pPr>
              <w:pStyle w:val="178"/>
              <w:jc w:val="left"/>
              <w:rPr>
                <w:rFonts w:hint="eastAsia"/>
              </w:rPr>
            </w:pPr>
          </w:p>
        </w:tc>
      </w:tr>
      <w:tr>
        <w:tblPrEx>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CellMar>
            <w:top w:w="0" w:type="dxa"/>
            <w:left w:w="0" w:type="dxa"/>
            <w:bottom w:w="0" w:type="dxa"/>
            <w:right w:w="0" w:type="dxa"/>
          </w:tblCellMar>
        </w:tblPrEx>
        <w:trPr>
          <w:trHeight w:val="26" w:hRule="atLeast"/>
          <w:jc w:val="center"/>
        </w:trPr>
        <w:tc>
          <w:tcPr>
            <w:tcW w:w="1346" w:type="dxa"/>
            <w:vMerge w:val="continue"/>
            <w:tcBorders>
              <w:bottom w:val="single" w:color="auto" w:sz="4" w:space="0"/>
              <w:right w:val="single" w:color="auto" w:sz="4" w:space="0"/>
            </w:tcBorders>
            <w:shd w:val="clear" w:color="auto" w:fill="FFFFFF" w:themeFill="background1"/>
            <w:vAlign w:val="center"/>
          </w:tcPr>
          <w:p>
            <w:pPr>
              <w:pStyle w:val="178"/>
              <w:jc w:val="left"/>
              <w:rPr>
                <w:rFonts w:hint="eastAsia"/>
              </w:rPr>
            </w:pPr>
          </w:p>
        </w:tc>
        <w:tc>
          <w:tcPr>
            <w:tcW w:w="1300" w:type="dxa"/>
            <w:vMerge w:val="continue"/>
            <w:tcBorders>
              <w:left w:val="single" w:color="auto" w:sz="4" w:space="0"/>
              <w:bottom w:val="single" w:color="auto" w:sz="4" w:space="0"/>
              <w:right w:val="single" w:color="auto" w:sz="4" w:space="0"/>
            </w:tcBorders>
            <w:shd w:val="clear" w:color="auto" w:fill="E2EFD9" w:themeFill="accent6" w:themeFillTint="33"/>
            <w:vAlign w:val="center"/>
          </w:tcPr>
          <w:p>
            <w:pPr>
              <w:pStyle w:val="178"/>
              <w:jc w:val="left"/>
              <w:rPr>
                <w:rFonts w:hint="eastAsia"/>
              </w:rPr>
            </w:pPr>
          </w:p>
        </w:tc>
        <w:tc>
          <w:tcPr>
            <w:tcW w:w="4660" w:type="dxa"/>
            <w:tcBorders>
              <w:top w:val="single" w:color="auto" w:sz="4" w:space="0"/>
              <w:left w:val="single" w:color="auto" w:sz="4" w:space="0"/>
              <w:bottom w:val="single" w:color="auto" w:sz="4" w:space="0"/>
            </w:tcBorders>
            <w:shd w:val="clear" w:color="auto" w:fill="E2EFD9" w:themeFill="accent6" w:themeFillTint="33"/>
            <w:vAlign w:val="center"/>
          </w:tcPr>
          <w:p>
            <w:pPr>
              <w:pStyle w:val="178"/>
              <w:jc w:val="left"/>
              <w:rPr>
                <w:rFonts w:hint="default" w:eastAsia="宋体"/>
                <w:lang w:val="en-US" w:eastAsia="zh-CN"/>
              </w:rPr>
            </w:pPr>
            <w:r>
              <w:rPr>
                <w:rFonts w:hint="eastAsia"/>
                <w:lang w:val="en-US" w:eastAsia="zh-CN"/>
              </w:rPr>
              <w:t>重点领域反垄断合规充分覆盖</w:t>
            </w:r>
          </w:p>
        </w:tc>
        <w:tc>
          <w:tcPr>
            <w:tcW w:w="848" w:type="dxa"/>
            <w:tcBorders>
              <w:bottom w:val="single" w:color="auto" w:sz="4" w:space="0"/>
            </w:tcBorders>
            <w:shd w:val="clear" w:color="auto" w:fill="E2EFD9" w:themeFill="accent6" w:themeFillTint="33"/>
            <w:vAlign w:val="center"/>
          </w:tcPr>
          <w:p>
            <w:pPr>
              <w:pStyle w:val="178"/>
              <w:jc w:val="left"/>
              <w:rPr>
                <w:rFonts w:hint="eastAsia"/>
              </w:rPr>
            </w:pPr>
          </w:p>
        </w:tc>
      </w:tr>
      <w:tr>
        <w:tblPrEx>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CellMar>
            <w:top w:w="0" w:type="dxa"/>
            <w:left w:w="0" w:type="dxa"/>
            <w:bottom w:w="0" w:type="dxa"/>
            <w:right w:w="0" w:type="dxa"/>
          </w:tblCellMar>
        </w:tblPrEx>
        <w:trPr>
          <w:trHeight w:val="26" w:hRule="atLeast"/>
          <w:jc w:val="center"/>
        </w:trPr>
        <w:tc>
          <w:tcPr>
            <w:tcW w:w="1346" w:type="dxa"/>
            <w:vMerge w:val="continue"/>
            <w:tcBorders>
              <w:bottom w:val="single" w:color="auto" w:sz="4" w:space="0"/>
              <w:right w:val="single" w:color="auto" w:sz="4" w:space="0"/>
            </w:tcBorders>
            <w:shd w:val="clear" w:color="auto" w:fill="FFFFFF" w:themeFill="background1"/>
            <w:vAlign w:val="center"/>
          </w:tcPr>
          <w:p>
            <w:pPr>
              <w:pStyle w:val="178"/>
              <w:jc w:val="left"/>
            </w:pPr>
          </w:p>
        </w:tc>
        <w:tc>
          <w:tcPr>
            <w:tcW w:w="1300" w:type="dxa"/>
            <w:vMerge w:val="continue"/>
            <w:tcBorders>
              <w:left w:val="single" w:color="auto" w:sz="4" w:space="0"/>
              <w:bottom w:val="single" w:color="auto" w:sz="4" w:space="0"/>
              <w:right w:val="single" w:color="auto" w:sz="4" w:space="0"/>
            </w:tcBorders>
            <w:shd w:val="clear" w:color="auto" w:fill="E2EFD9" w:themeFill="accent6" w:themeFillTint="33"/>
            <w:vAlign w:val="center"/>
          </w:tcPr>
          <w:p>
            <w:pPr>
              <w:pStyle w:val="178"/>
              <w:jc w:val="left"/>
            </w:pPr>
          </w:p>
        </w:tc>
        <w:tc>
          <w:tcPr>
            <w:tcW w:w="4660" w:type="dxa"/>
            <w:tcBorders>
              <w:top w:val="single" w:color="auto" w:sz="4" w:space="0"/>
              <w:left w:val="single" w:color="auto" w:sz="4" w:space="0"/>
              <w:bottom w:val="single" w:color="auto" w:sz="4" w:space="0"/>
            </w:tcBorders>
            <w:shd w:val="clear" w:color="auto" w:fill="E2EFD9" w:themeFill="accent6" w:themeFillTint="33"/>
            <w:vAlign w:val="center"/>
          </w:tcPr>
          <w:p>
            <w:pPr>
              <w:pStyle w:val="178"/>
              <w:jc w:val="left"/>
              <w:rPr>
                <w:rFonts w:hint="eastAsia"/>
              </w:rPr>
            </w:pPr>
            <w:r>
              <w:rPr>
                <w:rFonts w:hint="eastAsia"/>
                <w:lang w:val="en-US" w:eastAsia="zh-CN"/>
              </w:rPr>
              <w:t>重点环节反垄断合规充分覆盖</w:t>
            </w:r>
          </w:p>
        </w:tc>
        <w:tc>
          <w:tcPr>
            <w:tcW w:w="848" w:type="dxa"/>
            <w:tcBorders>
              <w:bottom w:val="single" w:color="auto" w:sz="4" w:space="0"/>
            </w:tcBorders>
            <w:shd w:val="clear" w:color="auto" w:fill="E2EFD9" w:themeFill="accent6" w:themeFillTint="33"/>
            <w:vAlign w:val="center"/>
          </w:tcPr>
          <w:p>
            <w:pPr>
              <w:pStyle w:val="178"/>
              <w:jc w:val="left"/>
              <w:rPr>
                <w:rFonts w:hint="eastAsia"/>
              </w:rPr>
            </w:pPr>
          </w:p>
        </w:tc>
      </w:tr>
      <w:tr>
        <w:tblPrEx>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CellMar>
            <w:top w:w="0" w:type="dxa"/>
            <w:left w:w="0" w:type="dxa"/>
            <w:bottom w:w="0" w:type="dxa"/>
            <w:right w:w="0" w:type="dxa"/>
          </w:tblCellMar>
        </w:tblPrEx>
        <w:trPr>
          <w:trHeight w:val="26" w:hRule="atLeast"/>
          <w:jc w:val="center"/>
        </w:trPr>
        <w:tc>
          <w:tcPr>
            <w:tcW w:w="1346" w:type="dxa"/>
            <w:vMerge w:val="continue"/>
            <w:tcBorders>
              <w:bottom w:val="single" w:color="auto" w:sz="4" w:space="0"/>
              <w:right w:val="single" w:color="auto" w:sz="4" w:space="0"/>
            </w:tcBorders>
            <w:shd w:val="clear" w:color="auto" w:fill="FFFFFF" w:themeFill="background1"/>
            <w:vAlign w:val="center"/>
          </w:tcPr>
          <w:p>
            <w:pPr>
              <w:pStyle w:val="178"/>
              <w:jc w:val="left"/>
              <w:rPr>
                <w:rFonts w:hint="eastAsia"/>
              </w:rPr>
            </w:pPr>
          </w:p>
        </w:tc>
        <w:tc>
          <w:tcPr>
            <w:tcW w:w="1300" w:type="dxa"/>
            <w:vMerge w:val="continue"/>
            <w:tcBorders>
              <w:left w:val="single" w:color="auto" w:sz="4" w:space="0"/>
              <w:bottom w:val="single" w:color="auto" w:sz="4" w:space="0"/>
              <w:right w:val="single" w:color="auto" w:sz="4" w:space="0"/>
            </w:tcBorders>
            <w:shd w:val="clear" w:color="auto" w:fill="E2EFD9" w:themeFill="accent6" w:themeFillTint="33"/>
            <w:vAlign w:val="center"/>
          </w:tcPr>
          <w:p>
            <w:pPr>
              <w:pStyle w:val="178"/>
              <w:jc w:val="left"/>
              <w:rPr>
                <w:rFonts w:hint="eastAsia"/>
              </w:rPr>
            </w:pPr>
          </w:p>
        </w:tc>
        <w:tc>
          <w:tcPr>
            <w:tcW w:w="4660" w:type="dxa"/>
            <w:tcBorders>
              <w:top w:val="single" w:color="auto" w:sz="4" w:space="0"/>
              <w:left w:val="single" w:color="auto" w:sz="4" w:space="0"/>
              <w:bottom w:val="single" w:color="auto" w:sz="4" w:space="0"/>
            </w:tcBorders>
            <w:shd w:val="clear" w:color="auto" w:fill="E2EFD9" w:themeFill="accent6" w:themeFillTint="33"/>
            <w:vAlign w:val="center"/>
          </w:tcPr>
          <w:p>
            <w:pPr>
              <w:pStyle w:val="178"/>
              <w:jc w:val="left"/>
              <w:rPr>
                <w:rFonts w:hint="eastAsia"/>
              </w:rPr>
            </w:pPr>
            <w:r>
              <w:rPr>
                <w:rFonts w:hint="eastAsia"/>
                <w:lang w:val="en-US" w:eastAsia="zh-CN"/>
              </w:rPr>
              <w:t>重点人员反垄断合规充分覆盖</w:t>
            </w:r>
          </w:p>
        </w:tc>
        <w:tc>
          <w:tcPr>
            <w:tcW w:w="848" w:type="dxa"/>
            <w:tcBorders>
              <w:bottom w:val="single" w:color="auto" w:sz="4" w:space="0"/>
            </w:tcBorders>
            <w:shd w:val="clear" w:color="auto" w:fill="E2EFD9" w:themeFill="accent6" w:themeFillTint="33"/>
            <w:vAlign w:val="center"/>
          </w:tcPr>
          <w:p>
            <w:pPr>
              <w:pStyle w:val="178"/>
              <w:jc w:val="left"/>
              <w:rPr>
                <w:rFonts w:hint="eastAsia"/>
              </w:rPr>
            </w:pPr>
          </w:p>
        </w:tc>
      </w:tr>
      <w:tr>
        <w:tblPrEx>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CellMar>
            <w:top w:w="0" w:type="dxa"/>
            <w:left w:w="0" w:type="dxa"/>
            <w:bottom w:w="0" w:type="dxa"/>
            <w:right w:w="0" w:type="dxa"/>
          </w:tblCellMar>
        </w:tblPrEx>
        <w:trPr>
          <w:trHeight w:val="26" w:hRule="atLeast"/>
          <w:jc w:val="center"/>
        </w:trPr>
        <w:tc>
          <w:tcPr>
            <w:tcW w:w="1346" w:type="dxa"/>
            <w:vMerge w:val="continue"/>
            <w:tcBorders>
              <w:bottom w:val="single" w:color="auto" w:sz="4" w:space="0"/>
              <w:right w:val="single" w:color="auto" w:sz="4" w:space="0"/>
            </w:tcBorders>
            <w:shd w:val="clear" w:color="auto" w:fill="FFFFFF" w:themeFill="background1"/>
            <w:vAlign w:val="center"/>
          </w:tcPr>
          <w:p>
            <w:pPr>
              <w:pStyle w:val="178"/>
              <w:jc w:val="left"/>
              <w:rPr>
                <w:rFonts w:hint="eastAsia"/>
              </w:rPr>
            </w:pPr>
          </w:p>
        </w:tc>
        <w:tc>
          <w:tcPr>
            <w:tcW w:w="1300" w:type="dxa"/>
            <w:vMerge w:val="continue"/>
            <w:tcBorders>
              <w:left w:val="single" w:color="auto" w:sz="4" w:space="0"/>
              <w:bottom w:val="single" w:color="auto" w:sz="4" w:space="0"/>
              <w:right w:val="single" w:color="auto" w:sz="4" w:space="0"/>
            </w:tcBorders>
            <w:shd w:val="clear" w:color="auto" w:fill="E2EFD9" w:themeFill="accent6" w:themeFillTint="33"/>
            <w:vAlign w:val="center"/>
          </w:tcPr>
          <w:p>
            <w:pPr>
              <w:pStyle w:val="178"/>
              <w:jc w:val="left"/>
              <w:rPr>
                <w:rFonts w:hint="eastAsia"/>
              </w:rPr>
            </w:pPr>
          </w:p>
        </w:tc>
        <w:tc>
          <w:tcPr>
            <w:tcW w:w="4660" w:type="dxa"/>
            <w:tcBorders>
              <w:top w:val="single" w:color="auto" w:sz="4" w:space="0"/>
              <w:left w:val="single" w:color="auto" w:sz="4" w:space="0"/>
              <w:bottom w:val="single" w:color="auto" w:sz="4" w:space="0"/>
            </w:tcBorders>
            <w:shd w:val="clear" w:color="auto" w:fill="E2EFD9" w:themeFill="accent6" w:themeFillTint="33"/>
            <w:vAlign w:val="center"/>
          </w:tcPr>
          <w:p>
            <w:pPr>
              <w:pStyle w:val="178"/>
              <w:jc w:val="left"/>
              <w:rPr>
                <w:rFonts w:hint="eastAsia"/>
              </w:rPr>
            </w:pPr>
            <w:r>
              <w:rPr>
                <w:rFonts w:hint="eastAsia"/>
                <w:lang w:val="en-US" w:eastAsia="zh-CN"/>
              </w:rPr>
              <w:t>最高管理者应确保为反垄断合规管理的策划、调查、培训、实施、保持、监督和改进提供必要的资源。这些必要的资源包括组织机构、人力资源、基础设施、数据与信息化技术、资金</w:t>
            </w:r>
          </w:p>
        </w:tc>
        <w:tc>
          <w:tcPr>
            <w:tcW w:w="848" w:type="dxa"/>
            <w:tcBorders>
              <w:bottom w:val="single" w:color="auto" w:sz="4" w:space="0"/>
            </w:tcBorders>
            <w:shd w:val="clear" w:color="auto" w:fill="E2EFD9" w:themeFill="accent6" w:themeFillTint="33"/>
            <w:vAlign w:val="center"/>
          </w:tcPr>
          <w:p>
            <w:pPr>
              <w:pStyle w:val="178"/>
              <w:jc w:val="left"/>
              <w:rPr>
                <w:rFonts w:hint="eastAsia"/>
              </w:rPr>
            </w:pPr>
          </w:p>
        </w:tc>
      </w:tr>
      <w:tr>
        <w:tblPrEx>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CellMar>
            <w:top w:w="0" w:type="dxa"/>
            <w:left w:w="0" w:type="dxa"/>
            <w:bottom w:w="0" w:type="dxa"/>
            <w:right w:w="0" w:type="dxa"/>
          </w:tblCellMar>
        </w:tblPrEx>
        <w:trPr>
          <w:trHeight w:val="26" w:hRule="atLeast"/>
          <w:jc w:val="center"/>
        </w:trPr>
        <w:tc>
          <w:tcPr>
            <w:tcW w:w="1346" w:type="dxa"/>
            <w:vMerge w:val="continue"/>
            <w:tcBorders>
              <w:bottom w:val="single" w:color="auto" w:sz="4" w:space="0"/>
              <w:right w:val="single" w:color="auto" w:sz="4" w:space="0"/>
            </w:tcBorders>
            <w:shd w:val="clear" w:color="auto" w:fill="FFFFFF" w:themeFill="background1"/>
            <w:vAlign w:val="center"/>
          </w:tcPr>
          <w:p>
            <w:pPr>
              <w:pStyle w:val="178"/>
              <w:jc w:val="left"/>
              <w:rPr>
                <w:rFonts w:hint="eastAsia"/>
              </w:rPr>
            </w:pPr>
          </w:p>
        </w:tc>
        <w:tc>
          <w:tcPr>
            <w:tcW w:w="1300" w:type="dxa"/>
            <w:vMerge w:val="continue"/>
            <w:tcBorders>
              <w:left w:val="single" w:color="auto" w:sz="4" w:space="0"/>
              <w:bottom w:val="single" w:color="auto" w:sz="4" w:space="0"/>
              <w:right w:val="single" w:color="auto" w:sz="4" w:space="0"/>
            </w:tcBorders>
            <w:shd w:val="clear" w:color="auto" w:fill="E2EFD9" w:themeFill="accent6" w:themeFillTint="33"/>
            <w:vAlign w:val="center"/>
          </w:tcPr>
          <w:p>
            <w:pPr>
              <w:pStyle w:val="178"/>
              <w:jc w:val="left"/>
              <w:rPr>
                <w:rFonts w:hint="eastAsia"/>
              </w:rPr>
            </w:pPr>
          </w:p>
        </w:tc>
        <w:tc>
          <w:tcPr>
            <w:tcW w:w="4660" w:type="dxa"/>
            <w:tcBorders>
              <w:top w:val="single" w:color="auto" w:sz="4" w:space="0"/>
              <w:left w:val="single" w:color="auto" w:sz="4" w:space="0"/>
              <w:bottom w:val="single" w:color="auto" w:sz="4" w:space="0"/>
            </w:tcBorders>
            <w:shd w:val="clear" w:color="auto" w:fill="E2EFD9" w:themeFill="accent6" w:themeFillTint="33"/>
            <w:vAlign w:val="center"/>
          </w:tcPr>
          <w:p>
            <w:pPr>
              <w:pStyle w:val="178"/>
              <w:jc w:val="left"/>
              <w:rPr>
                <w:rFonts w:hint="eastAsia"/>
              </w:rPr>
            </w:pPr>
            <w:r>
              <w:rPr>
                <w:rFonts w:hint="eastAsia"/>
                <w:lang w:val="en-US" w:eastAsia="zh-CN"/>
              </w:rPr>
              <w:t>为便于反垄断合规管理工作的有效开展，决策者应对反垄断合规相关内容、作用、职责和权限做出明确规定，形成文件，并有效传达到为经营者或代表经营者工作的所有人员</w:t>
            </w:r>
          </w:p>
        </w:tc>
        <w:tc>
          <w:tcPr>
            <w:tcW w:w="848" w:type="dxa"/>
            <w:tcBorders>
              <w:bottom w:val="single" w:color="auto" w:sz="4" w:space="0"/>
            </w:tcBorders>
            <w:shd w:val="clear" w:color="auto" w:fill="E2EFD9" w:themeFill="accent6" w:themeFillTint="33"/>
            <w:vAlign w:val="center"/>
          </w:tcPr>
          <w:p>
            <w:pPr>
              <w:pStyle w:val="178"/>
              <w:jc w:val="left"/>
              <w:rPr>
                <w:rFonts w:hint="eastAsia"/>
              </w:rPr>
            </w:pPr>
          </w:p>
        </w:tc>
      </w:tr>
      <w:tr>
        <w:tblPrEx>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CellMar>
            <w:top w:w="0" w:type="dxa"/>
            <w:left w:w="0" w:type="dxa"/>
            <w:bottom w:w="0" w:type="dxa"/>
            <w:right w:w="0" w:type="dxa"/>
          </w:tblCellMar>
        </w:tblPrEx>
        <w:trPr>
          <w:trHeight w:val="26" w:hRule="atLeast"/>
          <w:jc w:val="center"/>
        </w:trPr>
        <w:tc>
          <w:tcPr>
            <w:tcW w:w="1346" w:type="dxa"/>
            <w:vMerge w:val="continue"/>
            <w:tcBorders>
              <w:bottom w:val="single" w:color="auto" w:sz="4" w:space="0"/>
              <w:right w:val="single" w:color="auto" w:sz="4" w:space="0"/>
            </w:tcBorders>
            <w:shd w:val="clear" w:color="auto" w:fill="FFFFFF" w:themeFill="background1"/>
            <w:vAlign w:val="center"/>
          </w:tcPr>
          <w:p>
            <w:pPr>
              <w:pStyle w:val="178"/>
              <w:jc w:val="left"/>
              <w:rPr>
                <w:rFonts w:hint="eastAsia"/>
              </w:rPr>
            </w:pPr>
          </w:p>
        </w:tc>
        <w:tc>
          <w:tcPr>
            <w:tcW w:w="1300" w:type="dxa"/>
            <w:vMerge w:val="continue"/>
            <w:tcBorders>
              <w:left w:val="single" w:color="auto" w:sz="4" w:space="0"/>
              <w:bottom w:val="single" w:color="auto" w:sz="4" w:space="0"/>
              <w:right w:val="single" w:color="auto" w:sz="4" w:space="0"/>
            </w:tcBorders>
            <w:shd w:val="clear" w:color="auto" w:fill="E2EFD9" w:themeFill="accent6" w:themeFillTint="33"/>
            <w:vAlign w:val="center"/>
          </w:tcPr>
          <w:p>
            <w:pPr>
              <w:pStyle w:val="178"/>
              <w:jc w:val="left"/>
              <w:rPr>
                <w:rFonts w:hint="eastAsia"/>
              </w:rPr>
            </w:pPr>
          </w:p>
        </w:tc>
        <w:tc>
          <w:tcPr>
            <w:tcW w:w="4660" w:type="dxa"/>
            <w:tcBorders>
              <w:top w:val="single" w:color="auto" w:sz="4" w:space="0"/>
              <w:left w:val="single" w:color="auto" w:sz="4" w:space="0"/>
              <w:bottom w:val="single" w:color="auto" w:sz="4" w:space="0"/>
            </w:tcBorders>
            <w:shd w:val="clear" w:color="auto" w:fill="E2EFD9" w:themeFill="accent6" w:themeFillTint="33"/>
            <w:vAlign w:val="center"/>
          </w:tcPr>
          <w:p>
            <w:pPr>
              <w:pStyle w:val="178"/>
              <w:jc w:val="left"/>
              <w:rPr>
                <w:rFonts w:hint="eastAsia"/>
              </w:rPr>
            </w:pPr>
            <w:r>
              <w:rPr>
                <w:rFonts w:hint="eastAsia"/>
                <w:lang w:val="en-US" w:eastAsia="zh-CN"/>
              </w:rPr>
              <w:t>经营者可设立反垄断合规机构，尚不具备条件单独设立反垄断合规机构的，可由合规管理、风险防控、法务等部门履行反垄断合规机构职责，但应配备反垄断合规专岗</w:t>
            </w:r>
          </w:p>
        </w:tc>
        <w:tc>
          <w:tcPr>
            <w:tcW w:w="848" w:type="dxa"/>
            <w:tcBorders>
              <w:bottom w:val="single" w:color="auto" w:sz="4" w:space="0"/>
            </w:tcBorders>
            <w:shd w:val="clear" w:color="auto" w:fill="E2EFD9" w:themeFill="accent6" w:themeFillTint="33"/>
            <w:vAlign w:val="center"/>
          </w:tcPr>
          <w:p>
            <w:pPr>
              <w:pStyle w:val="178"/>
              <w:jc w:val="left"/>
              <w:rPr>
                <w:rFonts w:hint="eastAsia"/>
              </w:rPr>
            </w:pPr>
          </w:p>
        </w:tc>
      </w:tr>
      <w:tr>
        <w:tblPrEx>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CellMar>
            <w:top w:w="0" w:type="dxa"/>
            <w:left w:w="0" w:type="dxa"/>
            <w:bottom w:w="0" w:type="dxa"/>
            <w:right w:w="0" w:type="dxa"/>
          </w:tblCellMar>
        </w:tblPrEx>
        <w:trPr>
          <w:trHeight w:val="112" w:hRule="atLeast"/>
          <w:jc w:val="center"/>
        </w:trPr>
        <w:tc>
          <w:tcPr>
            <w:tcW w:w="1346" w:type="dxa"/>
            <w:vMerge w:val="continue"/>
            <w:tcBorders>
              <w:top w:val="single" w:color="auto" w:sz="4" w:space="0"/>
              <w:bottom w:val="single" w:color="auto" w:sz="4" w:space="0"/>
              <w:right w:val="single" w:color="auto" w:sz="4" w:space="0"/>
            </w:tcBorders>
            <w:shd w:val="clear" w:color="auto" w:fill="FFFFFF" w:themeFill="background1"/>
            <w:vAlign w:val="center"/>
          </w:tcPr>
          <w:p>
            <w:pPr>
              <w:pStyle w:val="178"/>
              <w:rPr>
                <w:rFonts w:hint="eastAsia"/>
              </w:rPr>
            </w:pPr>
          </w:p>
        </w:tc>
        <w:tc>
          <w:tcPr>
            <w:tcW w:w="1300" w:type="dxa"/>
            <w:vMerge w:val="restart"/>
            <w:tcBorders>
              <w:top w:val="single" w:color="auto" w:sz="4" w:space="0"/>
              <w:left w:val="single" w:color="auto" w:sz="4" w:space="0"/>
              <w:right w:val="single" w:color="auto" w:sz="4" w:space="0"/>
            </w:tcBorders>
            <w:shd w:val="clear" w:color="auto" w:fill="E2EFD9" w:themeFill="accent6" w:themeFillTint="33"/>
            <w:vAlign w:val="center"/>
          </w:tcPr>
          <w:p>
            <w:pPr>
              <w:pStyle w:val="178"/>
              <w:rPr>
                <w:rFonts w:hint="eastAsia"/>
              </w:rPr>
            </w:pPr>
            <w:r>
              <w:rPr>
                <w:rFonts w:hint="eastAsia"/>
                <w:lang w:val="en-US" w:eastAsia="zh-CN"/>
              </w:rPr>
              <w:t>有关工作人员的</w:t>
            </w:r>
            <w:r>
              <w:rPr>
                <w:rFonts w:hint="eastAsia" w:hAnsi="宋体"/>
              </w:rPr>
              <w:t>能力与意识</w:t>
            </w:r>
          </w:p>
        </w:tc>
        <w:tc>
          <w:tcPr>
            <w:tcW w:w="4660" w:type="dxa"/>
            <w:tcBorders>
              <w:top w:val="single" w:color="auto" w:sz="4" w:space="0"/>
              <w:left w:val="single" w:color="auto" w:sz="4" w:space="0"/>
              <w:bottom w:val="single" w:color="auto" w:sz="4" w:space="0"/>
            </w:tcBorders>
            <w:shd w:val="clear" w:color="auto" w:fill="E2EFD9" w:themeFill="accent6" w:themeFillTint="33"/>
            <w:vAlign w:val="center"/>
          </w:tcPr>
          <w:p>
            <w:pPr>
              <w:pStyle w:val="178"/>
              <w:jc w:val="left"/>
              <w:rPr>
                <w:rFonts w:hint="eastAsia"/>
              </w:rPr>
            </w:pPr>
            <w:r>
              <w:rPr>
                <w:rFonts w:hint="eastAsia"/>
              </w:rPr>
              <w:t>经营者应确保所有为它或代表它进行工作、可能具有反垄断合规风险的人员，基于必要的教育、培训或实践，获得相应的意识、知识、理解和技能</w:t>
            </w:r>
          </w:p>
        </w:tc>
        <w:tc>
          <w:tcPr>
            <w:tcW w:w="848" w:type="dxa"/>
            <w:tcBorders>
              <w:top w:val="single" w:color="auto" w:sz="4" w:space="0"/>
            </w:tcBorders>
            <w:shd w:val="clear" w:color="auto" w:fill="E2EFD9" w:themeFill="accent6" w:themeFillTint="33"/>
            <w:vAlign w:val="center"/>
          </w:tcPr>
          <w:p>
            <w:pPr>
              <w:pStyle w:val="178"/>
              <w:rPr>
                <w:rFonts w:hint="eastAsia"/>
              </w:rPr>
            </w:pPr>
          </w:p>
        </w:tc>
      </w:tr>
      <w:tr>
        <w:tblPrEx>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CellMar>
            <w:top w:w="0" w:type="dxa"/>
            <w:left w:w="0" w:type="dxa"/>
            <w:bottom w:w="0" w:type="dxa"/>
            <w:right w:w="0" w:type="dxa"/>
          </w:tblCellMar>
        </w:tblPrEx>
        <w:trPr>
          <w:trHeight w:val="112" w:hRule="atLeast"/>
          <w:jc w:val="center"/>
        </w:trPr>
        <w:tc>
          <w:tcPr>
            <w:tcW w:w="1346" w:type="dxa"/>
            <w:vMerge w:val="continue"/>
            <w:tcBorders>
              <w:bottom w:val="single" w:color="auto" w:sz="4" w:space="0"/>
              <w:right w:val="single" w:color="auto" w:sz="4" w:space="0"/>
            </w:tcBorders>
            <w:shd w:val="clear" w:color="auto" w:fill="FFFFFF" w:themeFill="background1"/>
            <w:vAlign w:val="center"/>
          </w:tcPr>
          <w:p>
            <w:pPr>
              <w:pStyle w:val="178"/>
              <w:jc w:val="left"/>
            </w:pPr>
          </w:p>
        </w:tc>
        <w:tc>
          <w:tcPr>
            <w:tcW w:w="1300" w:type="dxa"/>
            <w:vMerge w:val="continue"/>
            <w:tcBorders>
              <w:left w:val="single" w:color="auto" w:sz="4" w:space="0"/>
              <w:bottom w:val="single" w:color="auto" w:sz="4" w:space="0"/>
              <w:right w:val="single" w:color="auto" w:sz="4" w:space="0"/>
            </w:tcBorders>
            <w:shd w:val="clear" w:color="auto" w:fill="E2EFD9" w:themeFill="accent6" w:themeFillTint="33"/>
            <w:vAlign w:val="center"/>
          </w:tcPr>
          <w:p>
            <w:pPr>
              <w:pStyle w:val="178"/>
              <w:jc w:val="left"/>
            </w:pPr>
          </w:p>
        </w:tc>
        <w:tc>
          <w:tcPr>
            <w:tcW w:w="4660" w:type="dxa"/>
            <w:tcBorders>
              <w:top w:val="single" w:color="auto" w:sz="4" w:space="0"/>
              <w:left w:val="single" w:color="auto" w:sz="4" w:space="0"/>
              <w:bottom w:val="single" w:color="auto" w:sz="4" w:space="0"/>
            </w:tcBorders>
            <w:shd w:val="clear" w:color="auto" w:fill="E2EFD9" w:themeFill="accent6" w:themeFillTint="33"/>
            <w:vAlign w:val="center"/>
          </w:tcPr>
          <w:p>
            <w:pPr>
              <w:pStyle w:val="178"/>
              <w:jc w:val="left"/>
              <w:rPr>
                <w:rFonts w:hint="eastAsia"/>
              </w:rPr>
            </w:pPr>
            <w:r>
              <w:rPr>
                <w:rFonts w:hint="eastAsia"/>
                <w:lang w:val="en-US" w:eastAsia="zh-CN"/>
              </w:rPr>
              <w:t>经营者应积极培育反垄断合规文化、意识和能力，通过签订反垄断合规承诺书、制定手册、张贴宣传标语、举行培训学习会议、举办知识竞赛等方式，强化全员依法合规竞争价值观，牢筑合规经营 思想基础。</w:t>
            </w:r>
          </w:p>
        </w:tc>
        <w:tc>
          <w:tcPr>
            <w:tcW w:w="848" w:type="dxa"/>
            <w:tcBorders>
              <w:bottom w:val="single" w:color="auto" w:sz="4" w:space="0"/>
            </w:tcBorders>
            <w:shd w:val="clear" w:color="auto" w:fill="E2EFD9" w:themeFill="accent6" w:themeFillTint="33"/>
            <w:vAlign w:val="center"/>
          </w:tcPr>
          <w:p>
            <w:pPr>
              <w:pStyle w:val="178"/>
              <w:jc w:val="left"/>
              <w:rPr>
                <w:rFonts w:hint="eastAsia"/>
              </w:rPr>
            </w:pPr>
          </w:p>
        </w:tc>
      </w:tr>
      <w:tr>
        <w:tblPrEx>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CellMar>
            <w:top w:w="0" w:type="dxa"/>
            <w:left w:w="0" w:type="dxa"/>
            <w:bottom w:w="0" w:type="dxa"/>
            <w:right w:w="0" w:type="dxa"/>
          </w:tblCellMar>
        </w:tblPrEx>
        <w:trPr>
          <w:trHeight w:val="28" w:hRule="atLeast"/>
          <w:jc w:val="center"/>
        </w:trPr>
        <w:tc>
          <w:tcPr>
            <w:tcW w:w="1346" w:type="dxa"/>
            <w:vMerge w:val="restart"/>
            <w:tcBorders>
              <w:top w:val="single" w:color="auto" w:sz="4" w:space="0"/>
              <w:right w:val="single" w:color="auto" w:sz="4" w:space="0"/>
            </w:tcBorders>
            <w:shd w:val="clear" w:color="auto" w:fill="FFFFFF" w:themeFill="background1"/>
            <w:vAlign w:val="center"/>
          </w:tcPr>
          <w:p>
            <w:pPr>
              <w:pStyle w:val="178"/>
              <w:rPr>
                <w:rFonts w:hint="eastAsia"/>
              </w:rPr>
            </w:pPr>
            <w:r>
              <w:rPr>
                <w:rFonts w:hint="eastAsia"/>
              </w:rPr>
              <w:t>制度</w:t>
            </w:r>
          </w:p>
        </w:tc>
        <w:tc>
          <w:tcPr>
            <w:tcW w:w="1300" w:type="dxa"/>
            <w:vMerge w:val="restart"/>
            <w:tcBorders>
              <w:top w:val="single" w:color="auto" w:sz="4" w:space="0"/>
              <w:left w:val="single" w:color="auto" w:sz="4" w:space="0"/>
              <w:right w:val="single" w:color="auto" w:sz="4" w:space="0"/>
            </w:tcBorders>
            <w:shd w:val="clear" w:color="auto" w:fill="E2EFD9" w:themeFill="accent6" w:themeFillTint="33"/>
            <w:vAlign w:val="center"/>
          </w:tcPr>
          <w:p>
            <w:pPr>
              <w:pStyle w:val="178"/>
              <w:rPr>
                <w:rFonts w:hint="eastAsia"/>
              </w:rPr>
            </w:pPr>
            <w:r>
              <w:rPr>
                <w:rFonts w:hint="eastAsia" w:hAnsi="宋体"/>
              </w:rPr>
              <w:t>管理文件</w:t>
            </w:r>
          </w:p>
        </w:tc>
        <w:tc>
          <w:tcPr>
            <w:tcW w:w="4660" w:type="dxa"/>
            <w:tcBorders>
              <w:top w:val="single" w:color="auto" w:sz="4" w:space="0"/>
              <w:left w:val="single" w:color="auto" w:sz="4" w:space="0"/>
              <w:bottom w:val="single" w:color="auto" w:sz="4" w:space="0"/>
            </w:tcBorders>
            <w:shd w:val="clear" w:color="auto" w:fill="E2EFD9" w:themeFill="accent6" w:themeFillTint="33"/>
            <w:vAlign w:val="center"/>
          </w:tcPr>
          <w:p>
            <w:pPr>
              <w:pStyle w:val="178"/>
              <w:jc w:val="left"/>
              <w:rPr>
                <w:rFonts w:hint="eastAsia"/>
              </w:rPr>
            </w:pPr>
            <w:r>
              <w:rPr>
                <w:rFonts w:hint="eastAsia"/>
                <w:lang w:val="en-US" w:eastAsia="zh-CN"/>
              </w:rPr>
              <w:t>充分规定反垄断合规方针、目标和义务范围</w:t>
            </w:r>
          </w:p>
        </w:tc>
        <w:tc>
          <w:tcPr>
            <w:tcW w:w="848" w:type="dxa"/>
            <w:tcBorders>
              <w:top w:val="single" w:color="auto" w:sz="4" w:space="0"/>
            </w:tcBorders>
            <w:shd w:val="clear" w:color="auto" w:fill="E2EFD9" w:themeFill="accent6" w:themeFillTint="33"/>
            <w:vAlign w:val="center"/>
          </w:tcPr>
          <w:p>
            <w:pPr>
              <w:pStyle w:val="178"/>
              <w:rPr>
                <w:rFonts w:hint="eastAsia"/>
              </w:rPr>
            </w:pPr>
          </w:p>
        </w:tc>
      </w:tr>
      <w:tr>
        <w:tblPrEx>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CellMar>
            <w:top w:w="0" w:type="dxa"/>
            <w:left w:w="0" w:type="dxa"/>
            <w:bottom w:w="0" w:type="dxa"/>
            <w:right w:w="0" w:type="dxa"/>
          </w:tblCellMar>
        </w:tblPrEx>
        <w:trPr>
          <w:trHeight w:val="28" w:hRule="atLeast"/>
          <w:jc w:val="center"/>
        </w:trPr>
        <w:tc>
          <w:tcPr>
            <w:tcW w:w="1346" w:type="dxa"/>
            <w:vMerge w:val="continue"/>
            <w:tcBorders>
              <w:right w:val="single" w:color="auto" w:sz="4" w:space="0"/>
            </w:tcBorders>
            <w:shd w:val="clear" w:color="auto" w:fill="FFFFFF" w:themeFill="background1"/>
            <w:vAlign w:val="center"/>
          </w:tcPr>
          <w:p>
            <w:pPr>
              <w:pStyle w:val="178"/>
              <w:jc w:val="left"/>
            </w:pPr>
          </w:p>
        </w:tc>
        <w:tc>
          <w:tcPr>
            <w:tcW w:w="1300" w:type="dxa"/>
            <w:vMerge w:val="continue"/>
            <w:tcBorders>
              <w:left w:val="single" w:color="auto" w:sz="4" w:space="0"/>
              <w:right w:val="single" w:color="auto" w:sz="4" w:space="0"/>
            </w:tcBorders>
            <w:shd w:val="clear" w:color="auto" w:fill="E2EFD9" w:themeFill="accent6" w:themeFillTint="33"/>
            <w:vAlign w:val="center"/>
          </w:tcPr>
          <w:p>
            <w:pPr>
              <w:pStyle w:val="178"/>
              <w:jc w:val="left"/>
            </w:pPr>
          </w:p>
        </w:tc>
        <w:tc>
          <w:tcPr>
            <w:tcW w:w="4660" w:type="dxa"/>
            <w:tcBorders>
              <w:top w:val="single" w:color="auto" w:sz="4" w:space="0"/>
              <w:left w:val="single" w:color="auto" w:sz="4" w:space="0"/>
              <w:bottom w:val="single" w:color="auto" w:sz="4" w:space="0"/>
            </w:tcBorders>
            <w:shd w:val="clear" w:color="auto" w:fill="E2EFD9" w:themeFill="accent6" w:themeFillTint="33"/>
            <w:vAlign w:val="center"/>
          </w:tcPr>
          <w:p>
            <w:pPr>
              <w:pStyle w:val="178"/>
              <w:jc w:val="left"/>
              <w:rPr>
                <w:rFonts w:hint="eastAsia"/>
              </w:rPr>
            </w:pPr>
            <w:r>
              <w:rPr>
                <w:rFonts w:hint="eastAsia"/>
                <w:lang w:val="en-US" w:eastAsia="zh-CN"/>
              </w:rPr>
              <w:t>充分规定反垄断合规实施方案</w:t>
            </w:r>
          </w:p>
        </w:tc>
        <w:tc>
          <w:tcPr>
            <w:tcW w:w="848" w:type="dxa"/>
            <w:shd w:val="clear" w:color="auto" w:fill="E2EFD9" w:themeFill="accent6" w:themeFillTint="33"/>
            <w:vAlign w:val="center"/>
          </w:tcPr>
          <w:p>
            <w:pPr>
              <w:pStyle w:val="178"/>
              <w:jc w:val="left"/>
              <w:rPr>
                <w:rFonts w:hint="eastAsia"/>
              </w:rPr>
            </w:pPr>
          </w:p>
        </w:tc>
      </w:tr>
      <w:tr>
        <w:tblPrEx>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CellMar>
            <w:top w:w="0" w:type="dxa"/>
            <w:left w:w="0" w:type="dxa"/>
            <w:bottom w:w="0" w:type="dxa"/>
            <w:right w:w="0" w:type="dxa"/>
          </w:tblCellMar>
        </w:tblPrEx>
        <w:trPr>
          <w:trHeight w:val="28" w:hRule="atLeast"/>
          <w:jc w:val="center"/>
        </w:trPr>
        <w:tc>
          <w:tcPr>
            <w:tcW w:w="1346" w:type="dxa"/>
            <w:vMerge w:val="continue"/>
            <w:tcBorders>
              <w:right w:val="single" w:color="auto" w:sz="4" w:space="0"/>
            </w:tcBorders>
            <w:shd w:val="clear" w:color="auto" w:fill="FFFFFF" w:themeFill="background1"/>
            <w:vAlign w:val="center"/>
          </w:tcPr>
          <w:p>
            <w:pPr>
              <w:pStyle w:val="178"/>
              <w:jc w:val="left"/>
              <w:rPr>
                <w:rFonts w:hint="eastAsia"/>
              </w:rPr>
            </w:pPr>
          </w:p>
        </w:tc>
        <w:tc>
          <w:tcPr>
            <w:tcW w:w="1300" w:type="dxa"/>
            <w:vMerge w:val="continue"/>
            <w:tcBorders>
              <w:left w:val="single" w:color="auto" w:sz="4" w:space="0"/>
              <w:right w:val="single" w:color="auto" w:sz="4" w:space="0"/>
            </w:tcBorders>
            <w:shd w:val="clear" w:color="auto" w:fill="E2EFD9" w:themeFill="accent6" w:themeFillTint="33"/>
            <w:vAlign w:val="center"/>
          </w:tcPr>
          <w:p>
            <w:pPr>
              <w:pStyle w:val="178"/>
              <w:jc w:val="left"/>
              <w:rPr>
                <w:rFonts w:hint="eastAsia"/>
              </w:rPr>
            </w:pPr>
          </w:p>
        </w:tc>
        <w:tc>
          <w:tcPr>
            <w:tcW w:w="4660" w:type="dxa"/>
            <w:tcBorders>
              <w:top w:val="single" w:color="auto" w:sz="4" w:space="0"/>
              <w:left w:val="single" w:color="auto" w:sz="4" w:space="0"/>
              <w:bottom w:val="single" w:color="auto" w:sz="4" w:space="0"/>
            </w:tcBorders>
            <w:shd w:val="clear" w:color="auto" w:fill="E2EFD9" w:themeFill="accent6" w:themeFillTint="33"/>
            <w:vAlign w:val="center"/>
          </w:tcPr>
          <w:p>
            <w:pPr>
              <w:pStyle w:val="178"/>
              <w:jc w:val="left"/>
              <w:rPr>
                <w:rFonts w:hint="eastAsia"/>
              </w:rPr>
            </w:pPr>
            <w:r>
              <w:rPr>
                <w:rFonts w:hint="eastAsia"/>
                <w:lang w:val="en-US" w:eastAsia="zh-CN"/>
              </w:rPr>
              <w:t>充分规定对垄断行为管理覆盖范围的描述</w:t>
            </w:r>
          </w:p>
        </w:tc>
        <w:tc>
          <w:tcPr>
            <w:tcW w:w="848" w:type="dxa"/>
            <w:shd w:val="clear" w:color="auto" w:fill="E2EFD9" w:themeFill="accent6" w:themeFillTint="33"/>
            <w:vAlign w:val="center"/>
          </w:tcPr>
          <w:p>
            <w:pPr>
              <w:pStyle w:val="178"/>
              <w:jc w:val="left"/>
              <w:rPr>
                <w:rFonts w:hint="eastAsia"/>
              </w:rPr>
            </w:pPr>
          </w:p>
        </w:tc>
      </w:tr>
      <w:tr>
        <w:tblPrEx>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CellMar>
            <w:top w:w="0" w:type="dxa"/>
            <w:left w:w="0" w:type="dxa"/>
            <w:bottom w:w="0" w:type="dxa"/>
            <w:right w:w="0" w:type="dxa"/>
          </w:tblCellMar>
        </w:tblPrEx>
        <w:trPr>
          <w:trHeight w:val="28" w:hRule="atLeast"/>
          <w:jc w:val="center"/>
        </w:trPr>
        <w:tc>
          <w:tcPr>
            <w:tcW w:w="1346" w:type="dxa"/>
            <w:vMerge w:val="continue"/>
            <w:tcBorders>
              <w:right w:val="single" w:color="auto" w:sz="4" w:space="0"/>
            </w:tcBorders>
            <w:shd w:val="clear" w:color="auto" w:fill="FFFFFF" w:themeFill="background1"/>
            <w:vAlign w:val="center"/>
          </w:tcPr>
          <w:p>
            <w:pPr>
              <w:pStyle w:val="178"/>
              <w:jc w:val="left"/>
              <w:rPr>
                <w:rFonts w:hint="eastAsia"/>
              </w:rPr>
            </w:pPr>
          </w:p>
        </w:tc>
        <w:tc>
          <w:tcPr>
            <w:tcW w:w="1300" w:type="dxa"/>
            <w:vMerge w:val="continue"/>
            <w:tcBorders>
              <w:left w:val="single" w:color="auto" w:sz="4" w:space="0"/>
              <w:right w:val="single" w:color="auto" w:sz="4" w:space="0"/>
            </w:tcBorders>
            <w:shd w:val="clear" w:color="auto" w:fill="E2EFD9" w:themeFill="accent6" w:themeFillTint="33"/>
            <w:vAlign w:val="center"/>
          </w:tcPr>
          <w:p>
            <w:pPr>
              <w:pStyle w:val="178"/>
              <w:jc w:val="left"/>
              <w:rPr>
                <w:rFonts w:hint="eastAsia"/>
              </w:rPr>
            </w:pPr>
          </w:p>
        </w:tc>
        <w:tc>
          <w:tcPr>
            <w:tcW w:w="4660" w:type="dxa"/>
            <w:tcBorders>
              <w:top w:val="single" w:color="auto" w:sz="4" w:space="0"/>
              <w:left w:val="single" w:color="auto" w:sz="4" w:space="0"/>
              <w:bottom w:val="single" w:color="auto" w:sz="4" w:space="0"/>
            </w:tcBorders>
            <w:shd w:val="clear" w:color="auto" w:fill="E2EFD9" w:themeFill="accent6" w:themeFillTint="33"/>
            <w:vAlign w:val="center"/>
          </w:tcPr>
          <w:p>
            <w:pPr>
              <w:pStyle w:val="178"/>
              <w:jc w:val="left"/>
              <w:rPr>
                <w:rFonts w:hint="eastAsia"/>
              </w:rPr>
            </w:pPr>
            <w:r>
              <w:rPr>
                <w:rFonts w:hint="eastAsia"/>
                <w:lang w:val="en-US" w:eastAsia="zh-CN"/>
              </w:rPr>
              <w:t>充分规定反垄断合规管理风险界定信息</w:t>
            </w:r>
          </w:p>
        </w:tc>
        <w:tc>
          <w:tcPr>
            <w:tcW w:w="848" w:type="dxa"/>
            <w:shd w:val="clear" w:color="auto" w:fill="E2EFD9" w:themeFill="accent6" w:themeFillTint="33"/>
            <w:vAlign w:val="center"/>
          </w:tcPr>
          <w:p>
            <w:pPr>
              <w:pStyle w:val="178"/>
              <w:jc w:val="left"/>
              <w:rPr>
                <w:rFonts w:hint="eastAsia"/>
              </w:rPr>
            </w:pPr>
          </w:p>
        </w:tc>
      </w:tr>
      <w:tr>
        <w:tblPrEx>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CellMar>
            <w:top w:w="0" w:type="dxa"/>
            <w:left w:w="0" w:type="dxa"/>
            <w:bottom w:w="0" w:type="dxa"/>
            <w:right w:w="0" w:type="dxa"/>
          </w:tblCellMar>
        </w:tblPrEx>
        <w:trPr>
          <w:trHeight w:val="28" w:hRule="atLeast"/>
          <w:jc w:val="center"/>
        </w:trPr>
        <w:tc>
          <w:tcPr>
            <w:tcW w:w="1346" w:type="dxa"/>
            <w:vMerge w:val="continue"/>
            <w:tcBorders>
              <w:right w:val="single" w:color="auto" w:sz="4" w:space="0"/>
            </w:tcBorders>
            <w:shd w:val="clear" w:color="auto" w:fill="FFFFFF" w:themeFill="background1"/>
            <w:vAlign w:val="center"/>
          </w:tcPr>
          <w:p>
            <w:pPr>
              <w:pStyle w:val="178"/>
              <w:jc w:val="left"/>
              <w:rPr>
                <w:rFonts w:hint="eastAsia"/>
              </w:rPr>
            </w:pPr>
          </w:p>
        </w:tc>
        <w:tc>
          <w:tcPr>
            <w:tcW w:w="1300" w:type="dxa"/>
            <w:vMerge w:val="continue"/>
            <w:tcBorders>
              <w:left w:val="single" w:color="auto" w:sz="4" w:space="0"/>
              <w:right w:val="single" w:color="auto" w:sz="4" w:space="0"/>
            </w:tcBorders>
            <w:shd w:val="clear" w:color="auto" w:fill="E2EFD9" w:themeFill="accent6" w:themeFillTint="33"/>
            <w:vAlign w:val="center"/>
          </w:tcPr>
          <w:p>
            <w:pPr>
              <w:pStyle w:val="178"/>
              <w:jc w:val="left"/>
              <w:rPr>
                <w:rFonts w:hint="eastAsia"/>
              </w:rPr>
            </w:pPr>
          </w:p>
        </w:tc>
        <w:tc>
          <w:tcPr>
            <w:tcW w:w="4660" w:type="dxa"/>
            <w:tcBorders>
              <w:top w:val="single" w:color="auto" w:sz="4" w:space="0"/>
              <w:left w:val="single" w:color="auto" w:sz="4" w:space="0"/>
              <w:bottom w:val="single" w:color="auto" w:sz="4" w:space="0"/>
            </w:tcBorders>
            <w:shd w:val="clear" w:color="auto" w:fill="E2EFD9" w:themeFill="accent6" w:themeFillTint="33"/>
            <w:vAlign w:val="center"/>
          </w:tcPr>
          <w:p>
            <w:pPr>
              <w:pStyle w:val="178"/>
              <w:jc w:val="left"/>
              <w:rPr>
                <w:rFonts w:hint="eastAsia"/>
              </w:rPr>
            </w:pPr>
            <w:r>
              <w:rPr>
                <w:rFonts w:hint="eastAsia"/>
                <w:lang w:val="en-US" w:eastAsia="zh-CN"/>
              </w:rPr>
              <w:t>充分规定经营者的组织机构图</w:t>
            </w:r>
          </w:p>
        </w:tc>
        <w:tc>
          <w:tcPr>
            <w:tcW w:w="848" w:type="dxa"/>
            <w:shd w:val="clear" w:color="auto" w:fill="E2EFD9" w:themeFill="accent6" w:themeFillTint="33"/>
            <w:vAlign w:val="center"/>
          </w:tcPr>
          <w:p>
            <w:pPr>
              <w:pStyle w:val="178"/>
              <w:jc w:val="left"/>
              <w:rPr>
                <w:rFonts w:hint="eastAsia"/>
              </w:rPr>
            </w:pPr>
          </w:p>
        </w:tc>
      </w:tr>
      <w:tr>
        <w:tblPrEx>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CellMar>
            <w:top w:w="0" w:type="dxa"/>
            <w:left w:w="0" w:type="dxa"/>
            <w:bottom w:w="0" w:type="dxa"/>
            <w:right w:w="0" w:type="dxa"/>
          </w:tblCellMar>
        </w:tblPrEx>
        <w:trPr>
          <w:trHeight w:val="28" w:hRule="atLeast"/>
          <w:jc w:val="center"/>
        </w:trPr>
        <w:tc>
          <w:tcPr>
            <w:tcW w:w="1346" w:type="dxa"/>
            <w:vMerge w:val="continue"/>
            <w:tcBorders>
              <w:right w:val="single" w:color="auto" w:sz="4" w:space="0"/>
            </w:tcBorders>
            <w:shd w:val="clear" w:color="auto" w:fill="FFFFFF" w:themeFill="background1"/>
            <w:vAlign w:val="center"/>
          </w:tcPr>
          <w:p>
            <w:pPr>
              <w:pStyle w:val="178"/>
              <w:jc w:val="left"/>
              <w:rPr>
                <w:rFonts w:hint="eastAsia"/>
              </w:rPr>
            </w:pPr>
          </w:p>
        </w:tc>
        <w:tc>
          <w:tcPr>
            <w:tcW w:w="1300" w:type="dxa"/>
            <w:vMerge w:val="continue"/>
            <w:tcBorders>
              <w:left w:val="single" w:color="auto" w:sz="4" w:space="0"/>
              <w:right w:val="single" w:color="auto" w:sz="4" w:space="0"/>
            </w:tcBorders>
            <w:shd w:val="clear" w:color="auto" w:fill="E2EFD9" w:themeFill="accent6" w:themeFillTint="33"/>
            <w:vAlign w:val="center"/>
          </w:tcPr>
          <w:p>
            <w:pPr>
              <w:pStyle w:val="178"/>
              <w:jc w:val="left"/>
              <w:rPr>
                <w:rFonts w:hint="eastAsia"/>
              </w:rPr>
            </w:pPr>
          </w:p>
        </w:tc>
        <w:tc>
          <w:tcPr>
            <w:tcW w:w="4660" w:type="dxa"/>
            <w:tcBorders>
              <w:top w:val="single" w:color="auto" w:sz="4" w:space="0"/>
              <w:left w:val="single" w:color="auto" w:sz="4" w:space="0"/>
              <w:bottom w:val="single" w:color="auto" w:sz="4" w:space="0"/>
            </w:tcBorders>
            <w:shd w:val="clear" w:color="auto" w:fill="E2EFD9" w:themeFill="accent6" w:themeFillTint="33"/>
            <w:vAlign w:val="center"/>
          </w:tcPr>
          <w:p>
            <w:pPr>
              <w:pStyle w:val="178"/>
              <w:jc w:val="left"/>
              <w:rPr>
                <w:rFonts w:hint="eastAsia"/>
              </w:rPr>
            </w:pPr>
            <w:r>
              <w:rPr>
                <w:rFonts w:hint="eastAsia"/>
                <w:lang w:val="en-US" w:eastAsia="zh-CN"/>
              </w:rPr>
              <w:t>充分规定反垄断合规文化、培训、汇报、承诺、审核、风险识别与评估、咨询、内部发现与举报、考核、应急处理等机制</w:t>
            </w:r>
          </w:p>
        </w:tc>
        <w:tc>
          <w:tcPr>
            <w:tcW w:w="848" w:type="dxa"/>
            <w:shd w:val="clear" w:color="auto" w:fill="E2EFD9" w:themeFill="accent6" w:themeFillTint="33"/>
            <w:vAlign w:val="center"/>
          </w:tcPr>
          <w:p>
            <w:pPr>
              <w:pStyle w:val="178"/>
              <w:jc w:val="left"/>
              <w:rPr>
                <w:rFonts w:hint="eastAsia"/>
              </w:rPr>
            </w:pPr>
          </w:p>
        </w:tc>
      </w:tr>
      <w:tr>
        <w:tblPrEx>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CellMar>
            <w:top w:w="0" w:type="dxa"/>
            <w:left w:w="0" w:type="dxa"/>
            <w:bottom w:w="0" w:type="dxa"/>
            <w:right w:w="0" w:type="dxa"/>
          </w:tblCellMar>
        </w:tblPrEx>
        <w:trPr>
          <w:trHeight w:val="28" w:hRule="atLeast"/>
          <w:jc w:val="center"/>
        </w:trPr>
        <w:tc>
          <w:tcPr>
            <w:tcW w:w="1346" w:type="dxa"/>
            <w:vMerge w:val="continue"/>
            <w:tcBorders>
              <w:right w:val="single" w:color="auto" w:sz="4" w:space="0"/>
            </w:tcBorders>
            <w:shd w:val="clear" w:color="auto" w:fill="FFFFFF" w:themeFill="background1"/>
            <w:vAlign w:val="center"/>
          </w:tcPr>
          <w:p>
            <w:pPr>
              <w:pStyle w:val="178"/>
              <w:jc w:val="left"/>
              <w:rPr>
                <w:rFonts w:hint="eastAsia"/>
              </w:rPr>
            </w:pPr>
          </w:p>
        </w:tc>
        <w:tc>
          <w:tcPr>
            <w:tcW w:w="1300" w:type="dxa"/>
            <w:vMerge w:val="continue"/>
            <w:tcBorders>
              <w:left w:val="single" w:color="auto" w:sz="4" w:space="0"/>
              <w:right w:val="single" w:color="auto" w:sz="4" w:space="0"/>
            </w:tcBorders>
            <w:shd w:val="clear" w:color="auto" w:fill="E2EFD9" w:themeFill="accent6" w:themeFillTint="33"/>
            <w:vAlign w:val="center"/>
          </w:tcPr>
          <w:p>
            <w:pPr>
              <w:pStyle w:val="178"/>
              <w:jc w:val="left"/>
              <w:rPr>
                <w:rFonts w:hint="eastAsia"/>
              </w:rPr>
            </w:pPr>
          </w:p>
        </w:tc>
        <w:tc>
          <w:tcPr>
            <w:tcW w:w="4660" w:type="dxa"/>
            <w:tcBorders>
              <w:top w:val="single" w:color="auto" w:sz="4" w:space="0"/>
              <w:left w:val="single" w:color="auto" w:sz="4" w:space="0"/>
              <w:bottom w:val="single" w:color="auto" w:sz="4" w:space="0"/>
            </w:tcBorders>
            <w:shd w:val="clear" w:color="auto" w:fill="E2EFD9" w:themeFill="accent6" w:themeFillTint="33"/>
            <w:vAlign w:val="center"/>
          </w:tcPr>
          <w:p>
            <w:pPr>
              <w:pStyle w:val="178"/>
              <w:jc w:val="left"/>
              <w:rPr>
                <w:rFonts w:hint="eastAsia"/>
              </w:rPr>
            </w:pPr>
            <w:r>
              <w:rPr>
                <w:rFonts w:hint="eastAsia"/>
                <w:lang w:val="en-US" w:eastAsia="zh-CN"/>
              </w:rPr>
              <w:t>充分规定经营者实施反垄断合规风险管理的培训、学习、检查过程、痕迹记录资料</w:t>
            </w:r>
          </w:p>
        </w:tc>
        <w:tc>
          <w:tcPr>
            <w:tcW w:w="848" w:type="dxa"/>
            <w:shd w:val="clear" w:color="auto" w:fill="E2EFD9" w:themeFill="accent6" w:themeFillTint="33"/>
            <w:vAlign w:val="center"/>
          </w:tcPr>
          <w:p>
            <w:pPr>
              <w:pStyle w:val="178"/>
              <w:jc w:val="left"/>
              <w:rPr>
                <w:rFonts w:hint="eastAsia"/>
              </w:rPr>
            </w:pPr>
          </w:p>
        </w:tc>
      </w:tr>
      <w:tr>
        <w:tblPrEx>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CellMar>
            <w:top w:w="0" w:type="dxa"/>
            <w:left w:w="0" w:type="dxa"/>
            <w:bottom w:w="0" w:type="dxa"/>
            <w:right w:w="0" w:type="dxa"/>
          </w:tblCellMar>
        </w:tblPrEx>
        <w:trPr>
          <w:trHeight w:val="28" w:hRule="atLeast"/>
          <w:jc w:val="center"/>
        </w:trPr>
        <w:tc>
          <w:tcPr>
            <w:tcW w:w="1346" w:type="dxa"/>
            <w:vMerge w:val="continue"/>
            <w:tcBorders>
              <w:bottom w:val="single" w:color="auto" w:sz="4" w:space="0"/>
              <w:right w:val="single" w:color="auto" w:sz="4" w:space="0"/>
            </w:tcBorders>
            <w:shd w:val="clear" w:color="auto" w:fill="FFFFFF" w:themeFill="background1"/>
            <w:vAlign w:val="center"/>
          </w:tcPr>
          <w:p>
            <w:pPr>
              <w:pStyle w:val="178"/>
              <w:jc w:val="left"/>
              <w:rPr>
                <w:rFonts w:hint="eastAsia"/>
              </w:rPr>
            </w:pPr>
          </w:p>
        </w:tc>
        <w:tc>
          <w:tcPr>
            <w:tcW w:w="1300" w:type="dxa"/>
            <w:vMerge w:val="continue"/>
            <w:tcBorders>
              <w:left w:val="single" w:color="auto" w:sz="4" w:space="0"/>
              <w:bottom w:val="single" w:color="auto" w:sz="4" w:space="0"/>
              <w:right w:val="single" w:color="auto" w:sz="4" w:space="0"/>
            </w:tcBorders>
            <w:shd w:val="clear" w:color="auto" w:fill="E2EFD9" w:themeFill="accent6" w:themeFillTint="33"/>
            <w:vAlign w:val="center"/>
          </w:tcPr>
          <w:p>
            <w:pPr>
              <w:pStyle w:val="178"/>
              <w:jc w:val="left"/>
              <w:rPr>
                <w:rFonts w:hint="eastAsia"/>
              </w:rPr>
            </w:pPr>
          </w:p>
        </w:tc>
        <w:tc>
          <w:tcPr>
            <w:tcW w:w="4660" w:type="dxa"/>
            <w:tcBorders>
              <w:top w:val="single" w:color="auto" w:sz="4" w:space="0"/>
              <w:left w:val="single" w:color="auto" w:sz="4" w:space="0"/>
              <w:bottom w:val="single" w:color="auto" w:sz="4" w:space="0"/>
            </w:tcBorders>
            <w:shd w:val="clear" w:color="auto" w:fill="E2EFD9" w:themeFill="accent6" w:themeFillTint="33"/>
            <w:vAlign w:val="center"/>
          </w:tcPr>
          <w:p>
            <w:pPr>
              <w:pStyle w:val="178"/>
              <w:jc w:val="left"/>
              <w:rPr>
                <w:rFonts w:hint="eastAsia"/>
              </w:rPr>
            </w:pPr>
            <w:r>
              <w:rPr>
                <w:rFonts w:hint="eastAsia"/>
                <w:lang w:val="en-US" w:eastAsia="zh-CN"/>
              </w:rPr>
              <w:t>充分规定识别、分析、评价、控制反垄断合规风险所需的图形、文字、音视频记录，包括但不限于经营者反垄断合规范围、特性、要点和措施</w:t>
            </w:r>
          </w:p>
        </w:tc>
        <w:tc>
          <w:tcPr>
            <w:tcW w:w="848" w:type="dxa"/>
            <w:tcBorders>
              <w:bottom w:val="single" w:color="auto" w:sz="4" w:space="0"/>
            </w:tcBorders>
            <w:shd w:val="clear" w:color="auto" w:fill="E2EFD9" w:themeFill="accent6" w:themeFillTint="33"/>
            <w:vAlign w:val="center"/>
          </w:tcPr>
          <w:p>
            <w:pPr>
              <w:pStyle w:val="178"/>
              <w:jc w:val="left"/>
              <w:rPr>
                <w:rFonts w:hint="eastAsia"/>
              </w:rPr>
            </w:pPr>
          </w:p>
        </w:tc>
      </w:tr>
      <w:tr>
        <w:tblPrEx>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CellMar>
            <w:top w:w="0" w:type="dxa"/>
            <w:left w:w="0" w:type="dxa"/>
            <w:bottom w:w="0" w:type="dxa"/>
            <w:right w:w="0" w:type="dxa"/>
          </w:tblCellMar>
        </w:tblPrEx>
        <w:trPr>
          <w:trHeight w:val="32" w:hRule="atLeast"/>
          <w:jc w:val="center"/>
        </w:trPr>
        <w:tc>
          <w:tcPr>
            <w:tcW w:w="1346" w:type="dxa"/>
            <w:vMerge w:val="continue"/>
            <w:tcBorders>
              <w:top w:val="single" w:color="auto" w:sz="4" w:space="0"/>
              <w:bottom w:val="single" w:color="auto" w:sz="4" w:space="0"/>
              <w:right w:val="single" w:color="auto" w:sz="4" w:space="0"/>
            </w:tcBorders>
            <w:shd w:val="clear" w:color="auto" w:fill="FFFFFF" w:themeFill="background1"/>
            <w:vAlign w:val="center"/>
          </w:tcPr>
          <w:p>
            <w:pPr>
              <w:pStyle w:val="178"/>
              <w:rPr>
                <w:rFonts w:hint="eastAsia"/>
              </w:rPr>
            </w:pPr>
          </w:p>
        </w:tc>
        <w:tc>
          <w:tcPr>
            <w:tcW w:w="1300" w:type="dxa"/>
            <w:vMerge w:val="restart"/>
            <w:tcBorders>
              <w:top w:val="single" w:color="auto" w:sz="4" w:space="0"/>
              <w:left w:val="single" w:color="auto" w:sz="4" w:space="0"/>
              <w:right w:val="single" w:color="auto" w:sz="4" w:space="0"/>
            </w:tcBorders>
            <w:shd w:val="clear" w:color="auto" w:fill="E2EFD9" w:themeFill="accent6" w:themeFillTint="33"/>
            <w:vAlign w:val="center"/>
          </w:tcPr>
          <w:p>
            <w:pPr>
              <w:pStyle w:val="178"/>
              <w:rPr>
                <w:rFonts w:hint="eastAsia"/>
              </w:rPr>
            </w:pPr>
            <w:r>
              <w:rPr>
                <w:rFonts w:hint="eastAsia" w:hAnsi="宋体"/>
              </w:rPr>
              <w:t>文件控制</w:t>
            </w:r>
          </w:p>
        </w:tc>
        <w:tc>
          <w:tcPr>
            <w:tcW w:w="4660" w:type="dxa"/>
            <w:tcBorders>
              <w:top w:val="single" w:color="auto" w:sz="4" w:space="0"/>
              <w:left w:val="single" w:color="auto" w:sz="4" w:space="0"/>
              <w:bottom w:val="single" w:color="auto" w:sz="4" w:space="0"/>
            </w:tcBorders>
            <w:shd w:val="clear" w:color="auto" w:fill="E2EFD9" w:themeFill="accent6" w:themeFillTint="33"/>
            <w:vAlign w:val="center"/>
          </w:tcPr>
          <w:p>
            <w:pPr>
              <w:pStyle w:val="178"/>
              <w:ind w:firstLine="0" w:firstLineChars="0"/>
              <w:jc w:val="left"/>
              <w:rPr>
                <w:rFonts w:hint="eastAsia" w:ascii="宋体" w:hAnsi="Times New Roman" w:eastAsia="宋体" w:cs="Times New Roman"/>
                <w:sz w:val="18"/>
                <w:lang w:val="en-US" w:eastAsia="zh-CN" w:bidi="ar-SA"/>
              </w:rPr>
            </w:pPr>
            <w:r>
              <w:rPr>
                <w:rFonts w:hint="eastAsia"/>
                <w:lang w:val="en-US" w:eastAsia="zh-CN"/>
              </w:rPr>
              <w:t>在反垄断合规管理文件发布前进行审批，确保其完整性、充分性和适宜性</w:t>
            </w:r>
          </w:p>
        </w:tc>
        <w:tc>
          <w:tcPr>
            <w:tcW w:w="848" w:type="dxa"/>
            <w:tcBorders>
              <w:top w:val="single" w:color="auto" w:sz="4" w:space="0"/>
            </w:tcBorders>
            <w:shd w:val="clear" w:color="auto" w:fill="E2EFD9" w:themeFill="accent6" w:themeFillTint="33"/>
            <w:vAlign w:val="center"/>
          </w:tcPr>
          <w:p>
            <w:pPr>
              <w:pStyle w:val="178"/>
              <w:rPr>
                <w:rFonts w:hint="eastAsia"/>
              </w:rPr>
            </w:pPr>
          </w:p>
        </w:tc>
      </w:tr>
      <w:tr>
        <w:tblPrEx>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CellMar>
            <w:top w:w="0" w:type="dxa"/>
            <w:left w:w="0" w:type="dxa"/>
            <w:bottom w:w="0" w:type="dxa"/>
            <w:right w:w="0" w:type="dxa"/>
          </w:tblCellMar>
        </w:tblPrEx>
        <w:trPr>
          <w:trHeight w:val="32" w:hRule="atLeast"/>
          <w:jc w:val="center"/>
        </w:trPr>
        <w:tc>
          <w:tcPr>
            <w:tcW w:w="1346" w:type="dxa"/>
            <w:vMerge w:val="continue"/>
            <w:tcBorders>
              <w:top w:val="single" w:color="auto" w:sz="4" w:space="0"/>
              <w:bottom w:val="single" w:color="auto" w:sz="4" w:space="0"/>
              <w:right w:val="single" w:color="auto" w:sz="4" w:space="0"/>
            </w:tcBorders>
            <w:shd w:val="clear" w:color="auto" w:fill="FFFFFF" w:themeFill="background1"/>
            <w:vAlign w:val="center"/>
          </w:tcPr>
          <w:p>
            <w:pPr>
              <w:pStyle w:val="178"/>
              <w:jc w:val="left"/>
            </w:pPr>
          </w:p>
        </w:tc>
        <w:tc>
          <w:tcPr>
            <w:tcW w:w="1300" w:type="dxa"/>
            <w:vMerge w:val="continue"/>
            <w:tcBorders>
              <w:left w:val="single" w:color="auto" w:sz="4" w:space="0"/>
              <w:right w:val="single" w:color="auto" w:sz="4" w:space="0"/>
            </w:tcBorders>
            <w:shd w:val="clear" w:color="auto" w:fill="E2EFD9" w:themeFill="accent6" w:themeFillTint="33"/>
            <w:vAlign w:val="center"/>
          </w:tcPr>
          <w:p>
            <w:pPr>
              <w:pStyle w:val="178"/>
              <w:jc w:val="left"/>
            </w:pPr>
          </w:p>
        </w:tc>
        <w:tc>
          <w:tcPr>
            <w:tcW w:w="4660" w:type="dxa"/>
            <w:tcBorders>
              <w:top w:val="single" w:color="auto" w:sz="4" w:space="0"/>
              <w:left w:val="single" w:color="auto" w:sz="4" w:space="0"/>
              <w:bottom w:val="single" w:color="auto" w:sz="4" w:space="0"/>
            </w:tcBorders>
            <w:shd w:val="clear" w:color="auto" w:fill="E2EFD9" w:themeFill="accent6" w:themeFillTint="33"/>
            <w:vAlign w:val="center"/>
          </w:tcPr>
          <w:p>
            <w:pPr>
              <w:pStyle w:val="178"/>
              <w:ind w:firstLine="0" w:firstLineChars="0"/>
              <w:jc w:val="left"/>
              <w:rPr>
                <w:rFonts w:hint="eastAsia" w:ascii="宋体" w:hAnsi="Times New Roman" w:eastAsia="宋体" w:cs="Times New Roman"/>
                <w:sz w:val="18"/>
                <w:lang w:val="en-US" w:eastAsia="zh-CN" w:bidi="ar-SA"/>
              </w:rPr>
            </w:pPr>
            <w:r>
              <w:rPr>
                <w:rFonts w:hint="eastAsia"/>
              </w:rPr>
              <w:t>必要时对</w:t>
            </w:r>
            <w:r>
              <w:rPr>
                <w:rFonts w:hint="eastAsia"/>
                <w:lang w:val="en-US" w:eastAsia="zh-CN"/>
              </w:rPr>
              <w:t>反垄断合规管理</w:t>
            </w:r>
            <w:r>
              <w:rPr>
                <w:rFonts w:hint="eastAsia"/>
              </w:rPr>
              <w:t>文件进行自我审查和更新，并重新审批</w:t>
            </w:r>
          </w:p>
        </w:tc>
        <w:tc>
          <w:tcPr>
            <w:tcW w:w="848" w:type="dxa"/>
            <w:shd w:val="clear" w:color="auto" w:fill="E2EFD9" w:themeFill="accent6" w:themeFillTint="33"/>
            <w:vAlign w:val="center"/>
          </w:tcPr>
          <w:p>
            <w:pPr>
              <w:pStyle w:val="178"/>
              <w:jc w:val="left"/>
              <w:rPr>
                <w:rFonts w:hint="eastAsia"/>
              </w:rPr>
            </w:pPr>
          </w:p>
        </w:tc>
      </w:tr>
      <w:tr>
        <w:tblPrEx>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CellMar>
            <w:top w:w="0" w:type="dxa"/>
            <w:left w:w="0" w:type="dxa"/>
            <w:bottom w:w="0" w:type="dxa"/>
            <w:right w:w="0" w:type="dxa"/>
          </w:tblCellMar>
        </w:tblPrEx>
        <w:trPr>
          <w:trHeight w:val="32" w:hRule="atLeast"/>
          <w:jc w:val="center"/>
        </w:trPr>
        <w:tc>
          <w:tcPr>
            <w:tcW w:w="1346" w:type="dxa"/>
            <w:vMerge w:val="continue"/>
            <w:tcBorders>
              <w:top w:val="single" w:color="auto" w:sz="4" w:space="0"/>
              <w:bottom w:val="single" w:color="auto" w:sz="4" w:space="0"/>
              <w:right w:val="single" w:color="auto" w:sz="4" w:space="0"/>
            </w:tcBorders>
            <w:shd w:val="clear" w:color="auto" w:fill="FFFFFF" w:themeFill="background1"/>
            <w:vAlign w:val="center"/>
          </w:tcPr>
          <w:p>
            <w:pPr>
              <w:pStyle w:val="178"/>
              <w:jc w:val="left"/>
              <w:rPr>
                <w:rFonts w:hint="eastAsia"/>
              </w:rPr>
            </w:pPr>
          </w:p>
        </w:tc>
        <w:tc>
          <w:tcPr>
            <w:tcW w:w="1300" w:type="dxa"/>
            <w:vMerge w:val="continue"/>
            <w:tcBorders>
              <w:left w:val="single" w:color="auto" w:sz="4" w:space="0"/>
              <w:right w:val="single" w:color="auto" w:sz="4" w:space="0"/>
            </w:tcBorders>
            <w:shd w:val="clear" w:color="auto" w:fill="E2EFD9" w:themeFill="accent6" w:themeFillTint="33"/>
            <w:vAlign w:val="center"/>
          </w:tcPr>
          <w:p>
            <w:pPr>
              <w:pStyle w:val="178"/>
              <w:jc w:val="left"/>
              <w:rPr>
                <w:rFonts w:hint="eastAsia"/>
              </w:rPr>
            </w:pPr>
          </w:p>
        </w:tc>
        <w:tc>
          <w:tcPr>
            <w:tcW w:w="4660" w:type="dxa"/>
            <w:tcBorders>
              <w:top w:val="single" w:color="auto" w:sz="4" w:space="0"/>
              <w:left w:val="single" w:color="auto" w:sz="4" w:space="0"/>
              <w:bottom w:val="single" w:color="auto" w:sz="4" w:space="0"/>
            </w:tcBorders>
            <w:shd w:val="clear" w:color="auto" w:fill="E2EFD9" w:themeFill="accent6" w:themeFillTint="33"/>
            <w:vAlign w:val="center"/>
          </w:tcPr>
          <w:p>
            <w:pPr>
              <w:pStyle w:val="178"/>
              <w:ind w:firstLine="0" w:firstLineChars="0"/>
              <w:jc w:val="left"/>
              <w:rPr>
                <w:rFonts w:hint="eastAsia" w:ascii="宋体" w:hAnsi="Times New Roman" w:eastAsia="宋体" w:cs="Times New Roman"/>
                <w:sz w:val="18"/>
                <w:lang w:val="en-US" w:eastAsia="zh-CN" w:bidi="ar-SA"/>
              </w:rPr>
            </w:pPr>
            <w:r>
              <w:rPr>
                <w:rFonts w:hint="eastAsia"/>
              </w:rPr>
              <w:t>确保对</w:t>
            </w:r>
            <w:r>
              <w:rPr>
                <w:rFonts w:hint="eastAsia"/>
                <w:lang w:val="en-US" w:eastAsia="zh-CN"/>
              </w:rPr>
              <w:t>反垄断合规管理</w:t>
            </w:r>
            <w:r>
              <w:rPr>
                <w:rFonts w:hint="eastAsia"/>
              </w:rPr>
              <w:t>文件的更改和现行修订状态作出标识</w:t>
            </w:r>
          </w:p>
        </w:tc>
        <w:tc>
          <w:tcPr>
            <w:tcW w:w="848" w:type="dxa"/>
            <w:shd w:val="clear" w:color="auto" w:fill="E2EFD9" w:themeFill="accent6" w:themeFillTint="33"/>
            <w:vAlign w:val="center"/>
          </w:tcPr>
          <w:p>
            <w:pPr>
              <w:pStyle w:val="178"/>
              <w:jc w:val="left"/>
              <w:rPr>
                <w:rFonts w:hint="eastAsia"/>
              </w:rPr>
            </w:pPr>
          </w:p>
        </w:tc>
      </w:tr>
      <w:tr>
        <w:tblPrEx>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CellMar>
            <w:top w:w="0" w:type="dxa"/>
            <w:left w:w="0" w:type="dxa"/>
            <w:bottom w:w="0" w:type="dxa"/>
            <w:right w:w="0" w:type="dxa"/>
          </w:tblCellMar>
        </w:tblPrEx>
        <w:trPr>
          <w:trHeight w:val="32" w:hRule="atLeast"/>
          <w:jc w:val="center"/>
        </w:trPr>
        <w:tc>
          <w:tcPr>
            <w:tcW w:w="1346" w:type="dxa"/>
            <w:vMerge w:val="continue"/>
            <w:tcBorders>
              <w:top w:val="single" w:color="auto" w:sz="4" w:space="0"/>
              <w:bottom w:val="single" w:color="auto" w:sz="4" w:space="0"/>
              <w:right w:val="single" w:color="auto" w:sz="4" w:space="0"/>
            </w:tcBorders>
            <w:shd w:val="clear" w:color="auto" w:fill="FFFFFF" w:themeFill="background1"/>
            <w:vAlign w:val="center"/>
          </w:tcPr>
          <w:p>
            <w:pPr>
              <w:pStyle w:val="178"/>
              <w:jc w:val="left"/>
              <w:rPr>
                <w:rFonts w:hint="eastAsia"/>
              </w:rPr>
            </w:pPr>
          </w:p>
        </w:tc>
        <w:tc>
          <w:tcPr>
            <w:tcW w:w="1300" w:type="dxa"/>
            <w:vMerge w:val="continue"/>
            <w:tcBorders>
              <w:left w:val="single" w:color="auto" w:sz="4" w:space="0"/>
              <w:right w:val="single" w:color="auto" w:sz="4" w:space="0"/>
            </w:tcBorders>
            <w:shd w:val="clear" w:color="auto" w:fill="E2EFD9" w:themeFill="accent6" w:themeFillTint="33"/>
            <w:vAlign w:val="center"/>
          </w:tcPr>
          <w:p>
            <w:pPr>
              <w:pStyle w:val="178"/>
              <w:jc w:val="left"/>
              <w:rPr>
                <w:rFonts w:hint="eastAsia"/>
              </w:rPr>
            </w:pPr>
          </w:p>
        </w:tc>
        <w:tc>
          <w:tcPr>
            <w:tcW w:w="4660" w:type="dxa"/>
            <w:tcBorders>
              <w:top w:val="single" w:color="auto" w:sz="4" w:space="0"/>
              <w:left w:val="single" w:color="auto" w:sz="4" w:space="0"/>
              <w:bottom w:val="single" w:color="auto" w:sz="4" w:space="0"/>
            </w:tcBorders>
            <w:shd w:val="clear" w:color="auto" w:fill="E2EFD9" w:themeFill="accent6" w:themeFillTint="33"/>
            <w:vAlign w:val="center"/>
          </w:tcPr>
          <w:p>
            <w:pPr>
              <w:pStyle w:val="178"/>
              <w:ind w:firstLine="0" w:firstLineChars="0"/>
              <w:jc w:val="left"/>
              <w:rPr>
                <w:rFonts w:hint="eastAsia" w:ascii="宋体" w:hAnsi="Times New Roman" w:eastAsia="宋体" w:cs="Times New Roman"/>
                <w:sz w:val="18"/>
                <w:lang w:val="en-US" w:eastAsia="zh-CN" w:bidi="ar-SA"/>
              </w:rPr>
            </w:pPr>
            <w:r>
              <w:rPr>
                <w:rFonts w:hint="eastAsia"/>
                <w:lang w:val="en-US" w:eastAsia="zh-CN"/>
              </w:rPr>
              <w:t>确保文件字迹清晰，标识明确</w:t>
            </w:r>
          </w:p>
        </w:tc>
        <w:tc>
          <w:tcPr>
            <w:tcW w:w="848" w:type="dxa"/>
            <w:shd w:val="clear" w:color="auto" w:fill="E2EFD9" w:themeFill="accent6" w:themeFillTint="33"/>
            <w:vAlign w:val="center"/>
          </w:tcPr>
          <w:p>
            <w:pPr>
              <w:pStyle w:val="178"/>
              <w:jc w:val="left"/>
              <w:rPr>
                <w:rFonts w:hint="eastAsia"/>
              </w:rPr>
            </w:pPr>
          </w:p>
        </w:tc>
      </w:tr>
      <w:tr>
        <w:tblPrEx>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CellMar>
            <w:top w:w="0" w:type="dxa"/>
            <w:left w:w="0" w:type="dxa"/>
            <w:bottom w:w="0" w:type="dxa"/>
            <w:right w:w="0" w:type="dxa"/>
          </w:tblCellMar>
        </w:tblPrEx>
        <w:trPr>
          <w:trHeight w:val="32" w:hRule="atLeast"/>
          <w:jc w:val="center"/>
        </w:trPr>
        <w:tc>
          <w:tcPr>
            <w:tcW w:w="1346" w:type="dxa"/>
            <w:vMerge w:val="continue"/>
            <w:tcBorders>
              <w:top w:val="single" w:color="auto" w:sz="4" w:space="0"/>
              <w:bottom w:val="single" w:color="auto" w:sz="4" w:space="0"/>
              <w:right w:val="single" w:color="auto" w:sz="4" w:space="0"/>
            </w:tcBorders>
            <w:shd w:val="clear" w:color="auto" w:fill="FFFFFF" w:themeFill="background1"/>
            <w:vAlign w:val="center"/>
          </w:tcPr>
          <w:p>
            <w:pPr>
              <w:pStyle w:val="178"/>
              <w:jc w:val="left"/>
              <w:rPr>
                <w:rFonts w:hint="eastAsia"/>
              </w:rPr>
            </w:pPr>
          </w:p>
        </w:tc>
        <w:tc>
          <w:tcPr>
            <w:tcW w:w="1300" w:type="dxa"/>
            <w:vMerge w:val="continue"/>
            <w:tcBorders>
              <w:left w:val="single" w:color="auto" w:sz="4" w:space="0"/>
              <w:right w:val="single" w:color="auto" w:sz="4" w:space="0"/>
            </w:tcBorders>
            <w:shd w:val="clear" w:color="auto" w:fill="E2EFD9" w:themeFill="accent6" w:themeFillTint="33"/>
            <w:vAlign w:val="center"/>
          </w:tcPr>
          <w:p>
            <w:pPr>
              <w:pStyle w:val="178"/>
              <w:jc w:val="left"/>
              <w:rPr>
                <w:rFonts w:hint="eastAsia"/>
              </w:rPr>
            </w:pPr>
          </w:p>
        </w:tc>
        <w:tc>
          <w:tcPr>
            <w:tcW w:w="4660" w:type="dxa"/>
            <w:tcBorders>
              <w:top w:val="single" w:color="auto" w:sz="4" w:space="0"/>
              <w:left w:val="single" w:color="auto" w:sz="4" w:space="0"/>
              <w:bottom w:val="single" w:color="auto" w:sz="4" w:space="0"/>
            </w:tcBorders>
            <w:shd w:val="clear" w:color="auto" w:fill="E2EFD9" w:themeFill="accent6" w:themeFillTint="33"/>
            <w:vAlign w:val="center"/>
          </w:tcPr>
          <w:p>
            <w:pPr>
              <w:pStyle w:val="178"/>
              <w:ind w:firstLine="0" w:firstLineChars="0"/>
              <w:jc w:val="left"/>
              <w:rPr>
                <w:rFonts w:hint="eastAsia" w:ascii="宋体" w:hAnsi="Times New Roman" w:eastAsia="宋体" w:cs="Times New Roman"/>
                <w:sz w:val="18"/>
                <w:lang w:val="en-US" w:eastAsia="zh-CN" w:bidi="ar-SA"/>
              </w:rPr>
            </w:pPr>
            <w:r>
              <w:rPr>
                <w:rFonts w:hint="eastAsia"/>
                <w:lang w:val="en-US" w:eastAsia="zh-CN"/>
              </w:rPr>
              <w:t>确保对策划和运行反垄断合规管理所需的外部文件进行标识，对发放作记录和控制</w:t>
            </w:r>
          </w:p>
        </w:tc>
        <w:tc>
          <w:tcPr>
            <w:tcW w:w="848" w:type="dxa"/>
            <w:shd w:val="clear" w:color="auto" w:fill="E2EFD9" w:themeFill="accent6" w:themeFillTint="33"/>
            <w:vAlign w:val="center"/>
          </w:tcPr>
          <w:p>
            <w:pPr>
              <w:pStyle w:val="178"/>
              <w:jc w:val="left"/>
              <w:rPr>
                <w:rFonts w:hint="eastAsia"/>
              </w:rPr>
            </w:pPr>
          </w:p>
        </w:tc>
      </w:tr>
      <w:tr>
        <w:tblPrEx>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CellMar>
            <w:top w:w="0" w:type="dxa"/>
            <w:left w:w="0" w:type="dxa"/>
            <w:bottom w:w="0" w:type="dxa"/>
            <w:right w:w="0" w:type="dxa"/>
          </w:tblCellMar>
        </w:tblPrEx>
        <w:trPr>
          <w:trHeight w:val="32" w:hRule="atLeast"/>
          <w:jc w:val="center"/>
        </w:trPr>
        <w:tc>
          <w:tcPr>
            <w:tcW w:w="1346" w:type="dxa"/>
            <w:vMerge w:val="continue"/>
            <w:tcBorders>
              <w:top w:val="single" w:color="auto" w:sz="4" w:space="0"/>
              <w:bottom w:val="single" w:color="auto" w:sz="4" w:space="0"/>
              <w:right w:val="single" w:color="auto" w:sz="4" w:space="0"/>
            </w:tcBorders>
            <w:shd w:val="clear" w:color="auto" w:fill="FFFFFF" w:themeFill="background1"/>
            <w:vAlign w:val="center"/>
          </w:tcPr>
          <w:p>
            <w:pPr>
              <w:pStyle w:val="178"/>
              <w:jc w:val="left"/>
              <w:rPr>
                <w:rFonts w:hint="eastAsia"/>
              </w:rPr>
            </w:pPr>
          </w:p>
        </w:tc>
        <w:tc>
          <w:tcPr>
            <w:tcW w:w="1300" w:type="dxa"/>
            <w:vMerge w:val="continue"/>
            <w:tcBorders>
              <w:left w:val="single" w:color="auto" w:sz="4" w:space="0"/>
              <w:right w:val="single" w:color="auto" w:sz="4" w:space="0"/>
            </w:tcBorders>
            <w:shd w:val="clear" w:color="auto" w:fill="E2EFD9" w:themeFill="accent6" w:themeFillTint="33"/>
            <w:vAlign w:val="center"/>
          </w:tcPr>
          <w:p>
            <w:pPr>
              <w:pStyle w:val="178"/>
              <w:jc w:val="left"/>
              <w:rPr>
                <w:rFonts w:hint="eastAsia"/>
              </w:rPr>
            </w:pPr>
          </w:p>
        </w:tc>
        <w:tc>
          <w:tcPr>
            <w:tcW w:w="4660" w:type="dxa"/>
            <w:tcBorders>
              <w:top w:val="single" w:color="auto" w:sz="4" w:space="0"/>
              <w:left w:val="single" w:color="auto" w:sz="4" w:space="0"/>
              <w:bottom w:val="single" w:color="auto" w:sz="4" w:space="0"/>
            </w:tcBorders>
            <w:shd w:val="clear" w:color="auto" w:fill="E2EFD9" w:themeFill="accent6" w:themeFillTint="33"/>
            <w:vAlign w:val="center"/>
          </w:tcPr>
          <w:p>
            <w:pPr>
              <w:pStyle w:val="178"/>
              <w:ind w:firstLine="0" w:firstLineChars="0"/>
              <w:jc w:val="left"/>
              <w:rPr>
                <w:rFonts w:hint="eastAsia" w:ascii="宋体" w:hAnsi="Times New Roman" w:eastAsia="宋体" w:cs="Times New Roman"/>
                <w:sz w:val="18"/>
                <w:lang w:val="en-US" w:eastAsia="zh-CN" w:bidi="ar-SA"/>
              </w:rPr>
            </w:pPr>
            <w:r>
              <w:rPr>
                <w:rFonts w:hint="eastAsia"/>
              </w:rPr>
              <w:t>防止对过期文件的非预期使用，如需保留，应作适当标识</w:t>
            </w:r>
          </w:p>
        </w:tc>
        <w:tc>
          <w:tcPr>
            <w:tcW w:w="848" w:type="dxa"/>
            <w:shd w:val="clear" w:color="auto" w:fill="E2EFD9" w:themeFill="accent6" w:themeFillTint="33"/>
            <w:vAlign w:val="center"/>
          </w:tcPr>
          <w:p>
            <w:pPr>
              <w:pStyle w:val="178"/>
              <w:jc w:val="left"/>
              <w:rPr>
                <w:rFonts w:hint="eastAsia"/>
              </w:rPr>
            </w:pPr>
          </w:p>
        </w:tc>
      </w:tr>
      <w:tr>
        <w:tblPrEx>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CellMar>
            <w:top w:w="0" w:type="dxa"/>
            <w:left w:w="0" w:type="dxa"/>
            <w:bottom w:w="0" w:type="dxa"/>
            <w:right w:w="0" w:type="dxa"/>
          </w:tblCellMar>
        </w:tblPrEx>
        <w:trPr>
          <w:trHeight w:val="32" w:hRule="atLeast"/>
          <w:jc w:val="center"/>
        </w:trPr>
        <w:tc>
          <w:tcPr>
            <w:tcW w:w="1346" w:type="dxa"/>
            <w:vMerge w:val="continue"/>
            <w:tcBorders>
              <w:bottom w:val="single" w:color="auto" w:sz="4" w:space="0"/>
              <w:right w:val="single" w:color="auto" w:sz="4" w:space="0"/>
            </w:tcBorders>
            <w:shd w:val="clear" w:color="auto" w:fill="FFFFFF" w:themeFill="background1"/>
            <w:vAlign w:val="center"/>
          </w:tcPr>
          <w:p>
            <w:pPr>
              <w:pStyle w:val="178"/>
              <w:jc w:val="left"/>
              <w:rPr>
                <w:rFonts w:hint="eastAsia"/>
              </w:rPr>
            </w:pPr>
          </w:p>
        </w:tc>
        <w:tc>
          <w:tcPr>
            <w:tcW w:w="1300" w:type="dxa"/>
            <w:vMerge w:val="continue"/>
            <w:tcBorders>
              <w:left w:val="single" w:color="auto" w:sz="4" w:space="0"/>
              <w:bottom w:val="single" w:color="auto" w:sz="4" w:space="0"/>
              <w:right w:val="single" w:color="auto" w:sz="4" w:space="0"/>
            </w:tcBorders>
            <w:shd w:val="clear" w:color="auto" w:fill="E2EFD9" w:themeFill="accent6" w:themeFillTint="33"/>
            <w:vAlign w:val="center"/>
          </w:tcPr>
          <w:p>
            <w:pPr>
              <w:pStyle w:val="178"/>
              <w:jc w:val="left"/>
              <w:rPr>
                <w:rFonts w:hint="eastAsia"/>
              </w:rPr>
            </w:pPr>
          </w:p>
        </w:tc>
        <w:tc>
          <w:tcPr>
            <w:tcW w:w="4660" w:type="dxa"/>
            <w:tcBorders>
              <w:top w:val="single" w:color="auto" w:sz="4" w:space="0"/>
              <w:left w:val="single" w:color="auto" w:sz="4" w:space="0"/>
              <w:bottom w:val="single" w:color="auto" w:sz="4" w:space="0"/>
            </w:tcBorders>
            <w:shd w:val="clear" w:color="auto" w:fill="E2EFD9" w:themeFill="accent6" w:themeFillTint="33"/>
            <w:vAlign w:val="center"/>
          </w:tcPr>
          <w:p>
            <w:pPr>
              <w:pStyle w:val="178"/>
              <w:ind w:firstLine="0" w:firstLineChars="0"/>
              <w:jc w:val="left"/>
              <w:rPr>
                <w:rFonts w:hint="eastAsia" w:ascii="宋体" w:hAnsi="Times New Roman" w:eastAsia="宋体" w:cs="Times New Roman"/>
                <w:sz w:val="18"/>
                <w:lang w:val="en-US" w:eastAsia="zh-CN" w:bidi="ar-SA"/>
              </w:rPr>
            </w:pPr>
            <w:r>
              <w:rPr>
                <w:rFonts w:hint="eastAsia"/>
                <w:lang w:val="en-US" w:eastAsia="zh-CN"/>
              </w:rPr>
              <w:t>确保在使用时，从业人员能够方便快捷地获取和查阅，如制定、发放反垄断合规手册</w:t>
            </w:r>
          </w:p>
        </w:tc>
        <w:tc>
          <w:tcPr>
            <w:tcW w:w="848" w:type="dxa"/>
            <w:tcBorders>
              <w:bottom w:val="single" w:color="auto" w:sz="4" w:space="0"/>
            </w:tcBorders>
            <w:shd w:val="clear" w:color="auto" w:fill="E2EFD9" w:themeFill="accent6" w:themeFillTint="33"/>
            <w:vAlign w:val="center"/>
          </w:tcPr>
          <w:p>
            <w:pPr>
              <w:pStyle w:val="178"/>
              <w:jc w:val="left"/>
              <w:rPr>
                <w:rFonts w:hint="eastAsia"/>
              </w:rPr>
            </w:pPr>
          </w:p>
        </w:tc>
      </w:tr>
      <w:tr>
        <w:tblPrEx>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CellMar>
            <w:top w:w="0" w:type="dxa"/>
            <w:left w:w="0" w:type="dxa"/>
            <w:bottom w:w="0" w:type="dxa"/>
            <w:right w:w="0" w:type="dxa"/>
          </w:tblCellMar>
        </w:tblPrEx>
        <w:trPr>
          <w:trHeight w:val="32" w:hRule="atLeast"/>
          <w:jc w:val="center"/>
        </w:trPr>
        <w:tc>
          <w:tcPr>
            <w:tcW w:w="1346" w:type="dxa"/>
            <w:vMerge w:val="continue"/>
            <w:tcBorders>
              <w:top w:val="single" w:color="auto" w:sz="4" w:space="0"/>
              <w:bottom w:val="single" w:color="auto" w:sz="4" w:space="0"/>
              <w:right w:val="single" w:color="auto" w:sz="4" w:space="0"/>
            </w:tcBorders>
            <w:shd w:val="clear" w:color="auto" w:fill="FFFFFF" w:themeFill="background1"/>
            <w:vAlign w:val="center"/>
          </w:tcPr>
          <w:p>
            <w:pPr>
              <w:pStyle w:val="178"/>
              <w:rPr>
                <w:rFonts w:hint="eastAsia"/>
              </w:rPr>
            </w:pPr>
          </w:p>
        </w:tc>
        <w:tc>
          <w:tcPr>
            <w:tcW w:w="1300" w:type="dxa"/>
            <w:vMerge w:val="restart"/>
            <w:tcBorders>
              <w:top w:val="single" w:color="auto" w:sz="4" w:space="0"/>
              <w:left w:val="single" w:color="auto" w:sz="4" w:space="0"/>
              <w:right w:val="single" w:color="auto" w:sz="4" w:space="0"/>
            </w:tcBorders>
            <w:shd w:val="clear" w:color="auto" w:fill="E2EFD9" w:themeFill="accent6" w:themeFillTint="33"/>
            <w:vAlign w:val="center"/>
          </w:tcPr>
          <w:p>
            <w:pPr>
              <w:pStyle w:val="178"/>
              <w:rPr>
                <w:rFonts w:hint="eastAsia"/>
              </w:rPr>
            </w:pPr>
            <w:r>
              <w:rPr>
                <w:rFonts w:hint="eastAsia" w:hAnsi="宋体"/>
              </w:rPr>
              <w:t>合规培训</w:t>
            </w:r>
          </w:p>
        </w:tc>
        <w:tc>
          <w:tcPr>
            <w:tcW w:w="4660" w:type="dxa"/>
            <w:tcBorders>
              <w:top w:val="single" w:color="auto" w:sz="4" w:space="0"/>
              <w:left w:val="single" w:color="auto" w:sz="4" w:space="0"/>
              <w:bottom w:val="single" w:color="auto" w:sz="4" w:space="0"/>
            </w:tcBorders>
            <w:shd w:val="clear" w:color="auto" w:fill="E2EFD9" w:themeFill="accent6" w:themeFillTint="33"/>
            <w:vAlign w:val="center"/>
          </w:tcPr>
          <w:p>
            <w:pPr>
              <w:pStyle w:val="178"/>
              <w:jc w:val="left"/>
              <w:rPr>
                <w:rFonts w:hint="eastAsia"/>
              </w:rPr>
            </w:pPr>
            <w:r>
              <w:rPr>
                <w:rFonts w:hint="eastAsia"/>
              </w:rPr>
              <w:t>反垄断合规机构应确定与经营者相适应的反垄断合规管理文件有关的培训需求，并报决策者审议通过</w:t>
            </w:r>
          </w:p>
        </w:tc>
        <w:tc>
          <w:tcPr>
            <w:tcW w:w="848" w:type="dxa"/>
            <w:tcBorders>
              <w:top w:val="single" w:color="auto" w:sz="4" w:space="0"/>
            </w:tcBorders>
            <w:shd w:val="clear" w:color="auto" w:fill="E2EFD9" w:themeFill="accent6" w:themeFillTint="33"/>
            <w:vAlign w:val="center"/>
          </w:tcPr>
          <w:p>
            <w:pPr>
              <w:pStyle w:val="178"/>
              <w:rPr>
                <w:rFonts w:hint="eastAsia"/>
              </w:rPr>
            </w:pPr>
          </w:p>
        </w:tc>
      </w:tr>
      <w:tr>
        <w:tblPrEx>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CellMar>
            <w:top w:w="0" w:type="dxa"/>
            <w:left w:w="0" w:type="dxa"/>
            <w:bottom w:w="0" w:type="dxa"/>
            <w:right w:w="0" w:type="dxa"/>
          </w:tblCellMar>
        </w:tblPrEx>
        <w:trPr>
          <w:trHeight w:val="32" w:hRule="atLeast"/>
          <w:jc w:val="center"/>
        </w:trPr>
        <w:tc>
          <w:tcPr>
            <w:tcW w:w="1346" w:type="dxa"/>
            <w:vMerge w:val="continue"/>
            <w:tcBorders>
              <w:top w:val="single" w:color="auto" w:sz="4" w:space="0"/>
              <w:bottom w:val="single" w:color="auto" w:sz="4" w:space="0"/>
              <w:right w:val="single" w:color="auto" w:sz="4" w:space="0"/>
            </w:tcBorders>
            <w:shd w:val="clear" w:color="auto" w:fill="FFFFFF" w:themeFill="background1"/>
            <w:vAlign w:val="center"/>
          </w:tcPr>
          <w:p>
            <w:pPr>
              <w:pStyle w:val="178"/>
              <w:jc w:val="left"/>
            </w:pPr>
          </w:p>
        </w:tc>
        <w:tc>
          <w:tcPr>
            <w:tcW w:w="1300" w:type="dxa"/>
            <w:vMerge w:val="continue"/>
            <w:tcBorders>
              <w:left w:val="single" w:color="auto" w:sz="4" w:space="0"/>
              <w:right w:val="single" w:color="auto" w:sz="4" w:space="0"/>
            </w:tcBorders>
            <w:shd w:val="clear" w:color="auto" w:fill="E2EFD9" w:themeFill="accent6" w:themeFillTint="33"/>
            <w:vAlign w:val="center"/>
          </w:tcPr>
          <w:p>
            <w:pPr>
              <w:pStyle w:val="178"/>
              <w:jc w:val="left"/>
            </w:pPr>
          </w:p>
        </w:tc>
        <w:tc>
          <w:tcPr>
            <w:tcW w:w="4660" w:type="dxa"/>
            <w:tcBorders>
              <w:top w:val="single" w:color="auto" w:sz="4" w:space="0"/>
              <w:left w:val="single" w:color="auto" w:sz="4" w:space="0"/>
              <w:bottom w:val="single" w:color="auto" w:sz="4" w:space="0"/>
            </w:tcBorders>
            <w:shd w:val="clear" w:color="auto" w:fill="E2EFD9" w:themeFill="accent6" w:themeFillTint="33"/>
            <w:vAlign w:val="center"/>
          </w:tcPr>
          <w:p>
            <w:pPr>
              <w:pStyle w:val="178"/>
              <w:jc w:val="left"/>
              <w:rPr>
                <w:rFonts w:hint="eastAsia"/>
              </w:rPr>
            </w:pPr>
            <w:r>
              <w:rPr>
                <w:rFonts w:hint="eastAsia"/>
                <w:lang w:val="en-US" w:eastAsia="zh-CN"/>
              </w:rPr>
              <w:t>反垄断合规机构应组织和实施培训，或采取必要措施来满足这些需求，如用公开、可视方式展现有关反垄断合规知识、规范、文化</w:t>
            </w:r>
          </w:p>
        </w:tc>
        <w:tc>
          <w:tcPr>
            <w:tcW w:w="848" w:type="dxa"/>
            <w:shd w:val="clear" w:color="auto" w:fill="E2EFD9" w:themeFill="accent6" w:themeFillTint="33"/>
            <w:vAlign w:val="center"/>
          </w:tcPr>
          <w:p>
            <w:pPr>
              <w:pStyle w:val="178"/>
              <w:jc w:val="left"/>
              <w:rPr>
                <w:rFonts w:hint="eastAsia"/>
              </w:rPr>
            </w:pPr>
          </w:p>
        </w:tc>
      </w:tr>
      <w:tr>
        <w:tblPrEx>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CellMar>
            <w:top w:w="0" w:type="dxa"/>
            <w:left w:w="0" w:type="dxa"/>
            <w:bottom w:w="0" w:type="dxa"/>
            <w:right w:w="0" w:type="dxa"/>
          </w:tblCellMar>
        </w:tblPrEx>
        <w:trPr>
          <w:trHeight w:val="32" w:hRule="atLeast"/>
          <w:jc w:val="center"/>
        </w:trPr>
        <w:tc>
          <w:tcPr>
            <w:tcW w:w="1346" w:type="dxa"/>
            <w:vMerge w:val="continue"/>
            <w:tcBorders>
              <w:top w:val="single" w:color="auto" w:sz="4" w:space="0"/>
              <w:bottom w:val="single" w:color="auto" w:sz="4" w:space="0"/>
              <w:right w:val="single" w:color="auto" w:sz="4" w:space="0"/>
            </w:tcBorders>
            <w:shd w:val="clear" w:color="auto" w:fill="FFFFFF" w:themeFill="background1"/>
            <w:vAlign w:val="center"/>
          </w:tcPr>
          <w:p>
            <w:pPr>
              <w:pStyle w:val="178"/>
              <w:jc w:val="left"/>
              <w:rPr>
                <w:rFonts w:hint="eastAsia"/>
              </w:rPr>
            </w:pPr>
          </w:p>
        </w:tc>
        <w:tc>
          <w:tcPr>
            <w:tcW w:w="1300" w:type="dxa"/>
            <w:vMerge w:val="continue"/>
            <w:tcBorders>
              <w:left w:val="single" w:color="auto" w:sz="4" w:space="0"/>
              <w:right w:val="single" w:color="auto" w:sz="4" w:space="0"/>
            </w:tcBorders>
            <w:shd w:val="clear" w:color="auto" w:fill="E2EFD9" w:themeFill="accent6" w:themeFillTint="33"/>
            <w:vAlign w:val="center"/>
          </w:tcPr>
          <w:p>
            <w:pPr>
              <w:pStyle w:val="178"/>
              <w:jc w:val="left"/>
              <w:rPr>
                <w:rFonts w:hint="eastAsia"/>
              </w:rPr>
            </w:pPr>
          </w:p>
        </w:tc>
        <w:tc>
          <w:tcPr>
            <w:tcW w:w="4660" w:type="dxa"/>
            <w:tcBorders>
              <w:top w:val="single" w:color="auto" w:sz="4" w:space="0"/>
              <w:left w:val="single" w:color="auto" w:sz="4" w:space="0"/>
              <w:bottom w:val="single" w:color="auto" w:sz="4" w:space="0"/>
            </w:tcBorders>
            <w:shd w:val="clear" w:color="auto" w:fill="E2EFD9" w:themeFill="accent6" w:themeFillTint="33"/>
            <w:vAlign w:val="center"/>
          </w:tcPr>
          <w:p>
            <w:pPr>
              <w:pStyle w:val="178"/>
              <w:jc w:val="left"/>
              <w:rPr>
                <w:rFonts w:hint="default" w:eastAsia="宋体"/>
                <w:lang w:val="en-US" w:eastAsia="zh-CN"/>
              </w:rPr>
            </w:pPr>
            <w:r>
              <w:rPr>
                <w:rFonts w:hint="eastAsia"/>
                <w:lang w:val="en-US" w:eastAsia="zh-CN"/>
              </w:rPr>
              <w:t>通过培训，员工充分形成反垄断合规意识</w:t>
            </w:r>
          </w:p>
        </w:tc>
        <w:tc>
          <w:tcPr>
            <w:tcW w:w="848" w:type="dxa"/>
            <w:shd w:val="clear" w:color="auto" w:fill="E2EFD9" w:themeFill="accent6" w:themeFillTint="33"/>
            <w:vAlign w:val="center"/>
          </w:tcPr>
          <w:p>
            <w:pPr>
              <w:pStyle w:val="178"/>
              <w:jc w:val="left"/>
              <w:rPr>
                <w:rFonts w:hint="eastAsia"/>
              </w:rPr>
            </w:pPr>
          </w:p>
        </w:tc>
      </w:tr>
      <w:tr>
        <w:tblPrEx>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CellMar>
            <w:top w:w="0" w:type="dxa"/>
            <w:left w:w="0" w:type="dxa"/>
            <w:bottom w:w="0" w:type="dxa"/>
            <w:right w:w="0" w:type="dxa"/>
          </w:tblCellMar>
        </w:tblPrEx>
        <w:trPr>
          <w:trHeight w:val="28" w:hRule="atLeast"/>
          <w:jc w:val="center"/>
        </w:trPr>
        <w:tc>
          <w:tcPr>
            <w:tcW w:w="1346" w:type="dxa"/>
            <w:vMerge w:val="restart"/>
            <w:tcBorders>
              <w:top w:val="single" w:color="auto" w:sz="4" w:space="0"/>
              <w:right w:val="single" w:color="auto" w:sz="4" w:space="0"/>
            </w:tcBorders>
            <w:shd w:val="clear" w:color="auto" w:fill="FFFFFF" w:themeFill="background1"/>
            <w:vAlign w:val="center"/>
          </w:tcPr>
          <w:p>
            <w:pPr>
              <w:pStyle w:val="178"/>
              <w:rPr>
                <w:rFonts w:hint="eastAsia"/>
              </w:rPr>
            </w:pPr>
            <w:r>
              <w:rPr>
                <w:rFonts w:hint="eastAsia"/>
              </w:rPr>
              <w:t>运行</w:t>
            </w:r>
          </w:p>
        </w:tc>
        <w:tc>
          <w:tcPr>
            <w:tcW w:w="1300" w:type="dxa"/>
            <w:vMerge w:val="restart"/>
            <w:tcBorders>
              <w:top w:val="single" w:color="auto" w:sz="4" w:space="0"/>
              <w:left w:val="single" w:color="auto" w:sz="4" w:space="0"/>
              <w:right w:val="single" w:color="auto" w:sz="4" w:space="0"/>
            </w:tcBorders>
            <w:shd w:val="clear" w:color="auto" w:fill="E2EFD9" w:themeFill="accent6" w:themeFillTint="33"/>
            <w:vAlign w:val="center"/>
          </w:tcPr>
          <w:p>
            <w:pPr>
              <w:pStyle w:val="178"/>
              <w:rPr>
                <w:rFonts w:hint="eastAsia"/>
              </w:rPr>
            </w:pPr>
            <w:r>
              <w:rPr>
                <w:rFonts w:hint="eastAsia" w:hAnsi="宋体"/>
              </w:rPr>
              <w:t>风险识别</w:t>
            </w:r>
          </w:p>
        </w:tc>
        <w:tc>
          <w:tcPr>
            <w:tcW w:w="4660" w:type="dxa"/>
            <w:tcBorders>
              <w:top w:val="single" w:color="auto" w:sz="4" w:space="0"/>
              <w:left w:val="single" w:color="auto" w:sz="4" w:space="0"/>
              <w:bottom w:val="single" w:color="auto" w:sz="4" w:space="0"/>
            </w:tcBorders>
            <w:shd w:val="clear" w:color="auto" w:fill="E2EFD9" w:themeFill="accent6" w:themeFillTint="33"/>
            <w:vAlign w:val="center"/>
          </w:tcPr>
          <w:p>
            <w:pPr>
              <w:pStyle w:val="178"/>
              <w:jc w:val="left"/>
              <w:rPr>
                <w:rFonts w:hint="eastAsia"/>
              </w:rPr>
            </w:pPr>
            <w:r>
              <w:rPr>
                <w:rFonts w:hint="eastAsia"/>
              </w:rPr>
              <w:t>经营者</w:t>
            </w:r>
            <w:r>
              <w:rPr>
                <w:rFonts w:hint="eastAsia"/>
                <w:lang w:val="en-US" w:eastAsia="zh-CN"/>
              </w:rPr>
              <w:t>充分</w:t>
            </w:r>
            <w:r>
              <w:rPr>
                <w:rFonts w:hint="eastAsia"/>
              </w:rPr>
              <w:t>分析组织架构、业务过程，确定</w:t>
            </w:r>
            <w:r>
              <w:rPr>
                <w:rFonts w:hint="eastAsia"/>
                <w:lang w:eastAsia="zh-CN"/>
              </w:rPr>
              <w:t>反垄断合规</w:t>
            </w:r>
            <w:r>
              <w:rPr>
                <w:rFonts w:hint="eastAsia"/>
              </w:rPr>
              <w:t>风险产生的场景和源头</w:t>
            </w:r>
          </w:p>
        </w:tc>
        <w:tc>
          <w:tcPr>
            <w:tcW w:w="848" w:type="dxa"/>
            <w:tcBorders>
              <w:top w:val="single" w:color="auto" w:sz="4" w:space="0"/>
            </w:tcBorders>
            <w:shd w:val="clear" w:color="auto" w:fill="E2EFD9" w:themeFill="accent6" w:themeFillTint="33"/>
            <w:vAlign w:val="center"/>
          </w:tcPr>
          <w:p>
            <w:pPr>
              <w:pStyle w:val="178"/>
              <w:rPr>
                <w:rFonts w:hint="eastAsia"/>
              </w:rPr>
            </w:pPr>
          </w:p>
        </w:tc>
      </w:tr>
      <w:tr>
        <w:tblPrEx>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CellMar>
            <w:top w:w="0" w:type="dxa"/>
            <w:left w:w="0" w:type="dxa"/>
            <w:bottom w:w="0" w:type="dxa"/>
            <w:right w:w="0" w:type="dxa"/>
          </w:tblCellMar>
        </w:tblPrEx>
        <w:trPr>
          <w:trHeight w:val="28" w:hRule="atLeast"/>
          <w:jc w:val="center"/>
        </w:trPr>
        <w:tc>
          <w:tcPr>
            <w:tcW w:w="1346" w:type="dxa"/>
            <w:vMerge w:val="continue"/>
            <w:tcBorders>
              <w:right w:val="single" w:color="auto" w:sz="4" w:space="0"/>
            </w:tcBorders>
            <w:shd w:val="clear" w:color="auto" w:fill="FFFFFF" w:themeFill="background1"/>
            <w:vAlign w:val="center"/>
          </w:tcPr>
          <w:p>
            <w:pPr>
              <w:pStyle w:val="178"/>
              <w:jc w:val="left"/>
            </w:pPr>
          </w:p>
        </w:tc>
        <w:tc>
          <w:tcPr>
            <w:tcW w:w="1300" w:type="dxa"/>
            <w:vMerge w:val="continue"/>
            <w:tcBorders>
              <w:left w:val="single" w:color="auto" w:sz="4" w:space="0"/>
              <w:right w:val="single" w:color="auto" w:sz="4" w:space="0"/>
            </w:tcBorders>
            <w:shd w:val="clear" w:color="auto" w:fill="E2EFD9" w:themeFill="accent6" w:themeFillTint="33"/>
            <w:vAlign w:val="center"/>
          </w:tcPr>
          <w:p>
            <w:pPr>
              <w:pStyle w:val="178"/>
              <w:jc w:val="left"/>
            </w:pPr>
          </w:p>
        </w:tc>
        <w:tc>
          <w:tcPr>
            <w:tcW w:w="4660" w:type="dxa"/>
            <w:tcBorders>
              <w:top w:val="single" w:color="auto" w:sz="4" w:space="0"/>
              <w:left w:val="single" w:color="auto" w:sz="4" w:space="0"/>
              <w:bottom w:val="single" w:color="auto" w:sz="4" w:space="0"/>
            </w:tcBorders>
            <w:shd w:val="clear" w:color="auto" w:fill="E2EFD9" w:themeFill="accent6" w:themeFillTint="33"/>
            <w:vAlign w:val="center"/>
          </w:tcPr>
          <w:p>
            <w:pPr>
              <w:pStyle w:val="178"/>
              <w:jc w:val="left"/>
              <w:rPr>
                <w:rFonts w:hint="default" w:eastAsia="宋体"/>
                <w:lang w:val="en-US" w:eastAsia="zh-CN"/>
              </w:rPr>
            </w:pPr>
            <w:r>
              <w:rPr>
                <w:rFonts w:hint="eastAsia"/>
                <w:lang w:val="en-US" w:eastAsia="zh-CN"/>
              </w:rPr>
              <w:t>识别出的风险应包括：涉及人员、诱因、发现时间、发生地点或可能发生地点、发生环节或可能发生环节、风险类型、可能性及影响后果等要素。</w:t>
            </w:r>
          </w:p>
        </w:tc>
        <w:tc>
          <w:tcPr>
            <w:tcW w:w="848" w:type="dxa"/>
            <w:shd w:val="clear" w:color="auto" w:fill="E2EFD9" w:themeFill="accent6" w:themeFillTint="33"/>
            <w:vAlign w:val="center"/>
          </w:tcPr>
          <w:p>
            <w:pPr>
              <w:pStyle w:val="178"/>
              <w:jc w:val="left"/>
              <w:rPr>
                <w:rFonts w:hint="eastAsia"/>
              </w:rPr>
            </w:pPr>
          </w:p>
        </w:tc>
      </w:tr>
      <w:tr>
        <w:tblPrEx>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CellMar>
            <w:top w:w="0" w:type="dxa"/>
            <w:left w:w="0" w:type="dxa"/>
            <w:bottom w:w="0" w:type="dxa"/>
            <w:right w:w="0" w:type="dxa"/>
          </w:tblCellMar>
        </w:tblPrEx>
        <w:trPr>
          <w:trHeight w:val="28" w:hRule="atLeast"/>
          <w:jc w:val="center"/>
        </w:trPr>
        <w:tc>
          <w:tcPr>
            <w:tcW w:w="1346" w:type="dxa"/>
            <w:vMerge w:val="continue"/>
            <w:tcBorders>
              <w:right w:val="single" w:color="auto" w:sz="4" w:space="0"/>
            </w:tcBorders>
            <w:shd w:val="clear" w:color="auto" w:fill="FFFFFF" w:themeFill="background1"/>
            <w:vAlign w:val="center"/>
          </w:tcPr>
          <w:p>
            <w:pPr>
              <w:pStyle w:val="178"/>
              <w:jc w:val="left"/>
              <w:rPr>
                <w:rFonts w:hint="eastAsia"/>
              </w:rPr>
            </w:pPr>
          </w:p>
        </w:tc>
        <w:tc>
          <w:tcPr>
            <w:tcW w:w="1300" w:type="dxa"/>
            <w:vMerge w:val="continue"/>
            <w:tcBorders>
              <w:left w:val="single" w:color="auto" w:sz="4" w:space="0"/>
              <w:right w:val="single" w:color="auto" w:sz="4" w:space="0"/>
            </w:tcBorders>
            <w:shd w:val="clear" w:color="auto" w:fill="E2EFD9" w:themeFill="accent6" w:themeFillTint="33"/>
            <w:vAlign w:val="center"/>
          </w:tcPr>
          <w:p>
            <w:pPr>
              <w:pStyle w:val="178"/>
              <w:jc w:val="left"/>
              <w:rPr>
                <w:rFonts w:hint="eastAsia"/>
              </w:rPr>
            </w:pPr>
          </w:p>
        </w:tc>
        <w:tc>
          <w:tcPr>
            <w:tcW w:w="4660" w:type="dxa"/>
            <w:tcBorders>
              <w:top w:val="single" w:color="auto" w:sz="4" w:space="0"/>
              <w:left w:val="single" w:color="auto" w:sz="4" w:space="0"/>
              <w:bottom w:val="single" w:color="auto" w:sz="4" w:space="0"/>
            </w:tcBorders>
            <w:shd w:val="clear" w:color="auto" w:fill="E2EFD9" w:themeFill="accent6" w:themeFillTint="33"/>
            <w:vAlign w:val="center"/>
          </w:tcPr>
          <w:p>
            <w:pPr>
              <w:pStyle w:val="178"/>
              <w:jc w:val="left"/>
              <w:rPr>
                <w:rFonts w:hint="eastAsia"/>
              </w:rPr>
            </w:pPr>
            <w:r>
              <w:rPr>
                <w:rFonts w:hint="eastAsia"/>
              </w:rPr>
              <w:t>经营者宜分析已识别的</w:t>
            </w:r>
            <w:r>
              <w:rPr>
                <w:rFonts w:hint="eastAsia"/>
                <w:lang w:eastAsia="zh-CN"/>
              </w:rPr>
              <w:t>反垄断合规</w:t>
            </w:r>
            <w:r>
              <w:rPr>
                <w:rFonts w:hint="eastAsia"/>
              </w:rPr>
              <w:t>风险，分析风险发生的可能性和结果、现有控制措施的有效性等，确定风险高低、进行风险分级分类，对风险识别阶段建立的风险清单予以完善，有针对性地开展</w:t>
            </w:r>
            <w:r>
              <w:rPr>
                <w:rFonts w:hint="eastAsia"/>
                <w:lang w:eastAsia="zh-CN"/>
              </w:rPr>
              <w:t>反垄断合规</w:t>
            </w:r>
            <w:r>
              <w:rPr>
                <w:rFonts w:hint="eastAsia"/>
              </w:rPr>
              <w:t xml:space="preserve">风险提醒、控制和应对 </w:t>
            </w:r>
          </w:p>
        </w:tc>
        <w:tc>
          <w:tcPr>
            <w:tcW w:w="848" w:type="dxa"/>
            <w:shd w:val="clear" w:color="auto" w:fill="E2EFD9" w:themeFill="accent6" w:themeFillTint="33"/>
            <w:vAlign w:val="center"/>
          </w:tcPr>
          <w:p>
            <w:pPr>
              <w:pStyle w:val="178"/>
              <w:jc w:val="left"/>
              <w:rPr>
                <w:rFonts w:hint="eastAsia"/>
              </w:rPr>
            </w:pPr>
          </w:p>
        </w:tc>
      </w:tr>
      <w:tr>
        <w:tblPrEx>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CellMar>
            <w:top w:w="0" w:type="dxa"/>
            <w:left w:w="0" w:type="dxa"/>
            <w:bottom w:w="0" w:type="dxa"/>
            <w:right w:w="0" w:type="dxa"/>
          </w:tblCellMar>
        </w:tblPrEx>
        <w:trPr>
          <w:trHeight w:val="28" w:hRule="atLeast"/>
          <w:jc w:val="center"/>
        </w:trPr>
        <w:tc>
          <w:tcPr>
            <w:tcW w:w="1346" w:type="dxa"/>
            <w:vMerge w:val="continue"/>
            <w:tcBorders>
              <w:top w:val="single" w:color="auto" w:sz="4" w:space="0"/>
              <w:bottom w:val="single" w:color="auto" w:sz="4" w:space="0"/>
              <w:right w:val="single" w:color="auto" w:sz="4" w:space="0"/>
            </w:tcBorders>
            <w:shd w:val="clear" w:color="auto" w:fill="FFFFFF" w:themeFill="background1"/>
            <w:vAlign w:val="center"/>
          </w:tcPr>
          <w:p>
            <w:pPr>
              <w:pStyle w:val="178"/>
              <w:rPr>
                <w:rFonts w:hint="eastAsia"/>
              </w:rPr>
            </w:pPr>
          </w:p>
        </w:tc>
        <w:tc>
          <w:tcPr>
            <w:tcW w:w="1300" w:type="dxa"/>
            <w:vMerge w:val="restart"/>
            <w:tcBorders>
              <w:top w:val="single" w:color="auto" w:sz="4" w:space="0"/>
              <w:left w:val="single" w:color="auto" w:sz="4" w:space="0"/>
              <w:right w:val="single" w:color="auto" w:sz="4" w:space="0"/>
            </w:tcBorders>
            <w:shd w:val="clear" w:color="auto" w:fill="E2EFD9" w:themeFill="accent6" w:themeFillTint="33"/>
            <w:vAlign w:val="center"/>
          </w:tcPr>
          <w:p>
            <w:pPr>
              <w:pStyle w:val="178"/>
              <w:rPr>
                <w:rFonts w:hint="eastAsia"/>
              </w:rPr>
            </w:pPr>
            <w:r>
              <w:rPr>
                <w:rFonts w:hint="eastAsia" w:hAnsi="宋体"/>
              </w:rPr>
              <w:t>自我审查</w:t>
            </w:r>
          </w:p>
        </w:tc>
        <w:tc>
          <w:tcPr>
            <w:tcW w:w="4660" w:type="dxa"/>
            <w:tcBorders>
              <w:top w:val="single" w:color="auto" w:sz="4" w:space="0"/>
              <w:left w:val="single" w:color="auto" w:sz="4" w:space="0"/>
              <w:bottom w:val="single" w:color="auto" w:sz="4" w:space="0"/>
            </w:tcBorders>
            <w:shd w:val="clear" w:color="auto" w:fill="E2EFD9" w:themeFill="accent6" w:themeFillTint="33"/>
            <w:vAlign w:val="center"/>
          </w:tcPr>
          <w:p>
            <w:pPr>
              <w:pStyle w:val="178"/>
              <w:jc w:val="left"/>
              <w:rPr>
                <w:rFonts w:hint="eastAsia"/>
              </w:rPr>
            </w:pPr>
            <w:r>
              <w:rPr>
                <w:rFonts w:hint="eastAsia"/>
                <w:lang w:val="en-US" w:eastAsia="zh-CN"/>
              </w:rPr>
              <w:t>经营者反垄断合规审查由经营者内部人员或经营者聘请的外部机构和专业人员完成。实施审查的人员应当具备必要的专业知识和实务技能，并保证独立性，以公正、客观、科学实施</w:t>
            </w:r>
          </w:p>
        </w:tc>
        <w:tc>
          <w:tcPr>
            <w:tcW w:w="848" w:type="dxa"/>
            <w:tcBorders>
              <w:top w:val="single" w:color="auto" w:sz="4" w:space="0"/>
            </w:tcBorders>
            <w:shd w:val="clear" w:color="auto" w:fill="E2EFD9" w:themeFill="accent6" w:themeFillTint="33"/>
            <w:vAlign w:val="center"/>
          </w:tcPr>
          <w:p>
            <w:pPr>
              <w:pStyle w:val="178"/>
              <w:rPr>
                <w:rFonts w:hint="eastAsia"/>
              </w:rPr>
            </w:pPr>
          </w:p>
        </w:tc>
      </w:tr>
      <w:tr>
        <w:tblPrEx>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CellMar>
            <w:top w:w="0" w:type="dxa"/>
            <w:left w:w="0" w:type="dxa"/>
            <w:bottom w:w="0" w:type="dxa"/>
            <w:right w:w="0" w:type="dxa"/>
          </w:tblCellMar>
        </w:tblPrEx>
        <w:trPr>
          <w:trHeight w:val="28" w:hRule="atLeast"/>
          <w:jc w:val="center"/>
        </w:trPr>
        <w:tc>
          <w:tcPr>
            <w:tcW w:w="1346" w:type="dxa"/>
            <w:vMerge w:val="continue"/>
            <w:tcBorders>
              <w:top w:val="single" w:color="auto" w:sz="4" w:space="0"/>
              <w:bottom w:val="single" w:color="auto" w:sz="4" w:space="0"/>
              <w:right w:val="single" w:color="auto" w:sz="4" w:space="0"/>
            </w:tcBorders>
            <w:shd w:val="clear" w:color="auto" w:fill="FFFFFF" w:themeFill="background1"/>
            <w:vAlign w:val="center"/>
          </w:tcPr>
          <w:p>
            <w:pPr>
              <w:pStyle w:val="178"/>
              <w:jc w:val="left"/>
            </w:pPr>
          </w:p>
        </w:tc>
        <w:tc>
          <w:tcPr>
            <w:tcW w:w="1300" w:type="dxa"/>
            <w:vMerge w:val="continue"/>
            <w:tcBorders>
              <w:left w:val="single" w:color="auto" w:sz="4" w:space="0"/>
              <w:right w:val="single" w:color="auto" w:sz="4" w:space="0"/>
            </w:tcBorders>
            <w:shd w:val="clear" w:color="auto" w:fill="E2EFD9" w:themeFill="accent6" w:themeFillTint="33"/>
            <w:vAlign w:val="center"/>
          </w:tcPr>
          <w:p>
            <w:pPr>
              <w:pStyle w:val="178"/>
              <w:jc w:val="left"/>
            </w:pPr>
          </w:p>
        </w:tc>
        <w:tc>
          <w:tcPr>
            <w:tcW w:w="4660" w:type="dxa"/>
            <w:tcBorders>
              <w:top w:val="single" w:color="auto" w:sz="4" w:space="0"/>
              <w:left w:val="single" w:color="auto" w:sz="4" w:space="0"/>
              <w:bottom w:val="single" w:color="auto" w:sz="4" w:space="0"/>
            </w:tcBorders>
            <w:shd w:val="clear" w:color="auto" w:fill="E2EFD9" w:themeFill="accent6" w:themeFillTint="33"/>
            <w:vAlign w:val="center"/>
          </w:tcPr>
          <w:p>
            <w:pPr>
              <w:pStyle w:val="178"/>
              <w:jc w:val="left"/>
              <w:rPr>
                <w:rFonts w:hint="eastAsia"/>
              </w:rPr>
            </w:pPr>
            <w:r>
              <w:rPr>
                <w:rFonts w:hint="eastAsia"/>
                <w:lang w:val="en-US" w:eastAsia="zh-CN"/>
              </w:rPr>
              <w:t>审查应覆盖经营者从事市场竞争整个活动，全要素的进行，覆盖所界定的范围</w:t>
            </w:r>
          </w:p>
        </w:tc>
        <w:tc>
          <w:tcPr>
            <w:tcW w:w="848" w:type="dxa"/>
            <w:shd w:val="clear" w:color="auto" w:fill="E2EFD9" w:themeFill="accent6" w:themeFillTint="33"/>
            <w:vAlign w:val="center"/>
          </w:tcPr>
          <w:p>
            <w:pPr>
              <w:pStyle w:val="178"/>
              <w:jc w:val="left"/>
              <w:rPr>
                <w:rFonts w:hint="eastAsia"/>
              </w:rPr>
            </w:pPr>
          </w:p>
        </w:tc>
      </w:tr>
      <w:tr>
        <w:tblPrEx>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CellMar>
            <w:top w:w="0" w:type="dxa"/>
            <w:left w:w="0" w:type="dxa"/>
            <w:bottom w:w="0" w:type="dxa"/>
            <w:right w:w="0" w:type="dxa"/>
          </w:tblCellMar>
        </w:tblPrEx>
        <w:trPr>
          <w:trHeight w:val="28" w:hRule="atLeast"/>
          <w:jc w:val="center"/>
        </w:trPr>
        <w:tc>
          <w:tcPr>
            <w:tcW w:w="1346" w:type="dxa"/>
            <w:vMerge w:val="continue"/>
            <w:tcBorders>
              <w:top w:val="single" w:color="auto" w:sz="4" w:space="0"/>
              <w:bottom w:val="single" w:color="auto" w:sz="4" w:space="0"/>
              <w:right w:val="single" w:color="auto" w:sz="4" w:space="0"/>
            </w:tcBorders>
            <w:shd w:val="clear" w:color="auto" w:fill="FFFFFF" w:themeFill="background1"/>
            <w:vAlign w:val="center"/>
          </w:tcPr>
          <w:p>
            <w:pPr>
              <w:pStyle w:val="178"/>
              <w:jc w:val="left"/>
              <w:rPr>
                <w:rFonts w:hint="eastAsia"/>
              </w:rPr>
            </w:pPr>
          </w:p>
        </w:tc>
        <w:tc>
          <w:tcPr>
            <w:tcW w:w="1300" w:type="dxa"/>
            <w:vMerge w:val="continue"/>
            <w:tcBorders>
              <w:left w:val="single" w:color="auto" w:sz="4" w:space="0"/>
              <w:right w:val="single" w:color="auto" w:sz="4" w:space="0"/>
            </w:tcBorders>
            <w:shd w:val="clear" w:color="auto" w:fill="E2EFD9" w:themeFill="accent6" w:themeFillTint="33"/>
            <w:vAlign w:val="center"/>
          </w:tcPr>
          <w:p>
            <w:pPr>
              <w:pStyle w:val="178"/>
              <w:jc w:val="left"/>
              <w:rPr>
                <w:rFonts w:hint="eastAsia"/>
              </w:rPr>
            </w:pPr>
          </w:p>
        </w:tc>
        <w:tc>
          <w:tcPr>
            <w:tcW w:w="4660" w:type="dxa"/>
            <w:tcBorders>
              <w:top w:val="single" w:color="auto" w:sz="4" w:space="0"/>
              <w:left w:val="single" w:color="auto" w:sz="4" w:space="0"/>
              <w:bottom w:val="single" w:color="auto" w:sz="4" w:space="0"/>
            </w:tcBorders>
            <w:shd w:val="clear" w:color="auto" w:fill="E2EFD9" w:themeFill="accent6" w:themeFillTint="33"/>
            <w:vAlign w:val="center"/>
          </w:tcPr>
          <w:p>
            <w:pPr>
              <w:pStyle w:val="178"/>
              <w:jc w:val="left"/>
              <w:rPr>
                <w:rFonts w:hint="eastAsia"/>
              </w:rPr>
            </w:pPr>
            <w:r>
              <w:rPr>
                <w:rFonts w:hint="eastAsia"/>
                <w:lang w:val="en-US" w:eastAsia="zh-CN"/>
              </w:rPr>
              <w:t>审查过程可延续一段时期，以考察、验证经营者遵循竞争合规管理规范是否落实</w:t>
            </w:r>
          </w:p>
        </w:tc>
        <w:tc>
          <w:tcPr>
            <w:tcW w:w="848" w:type="dxa"/>
            <w:shd w:val="clear" w:color="auto" w:fill="E2EFD9" w:themeFill="accent6" w:themeFillTint="33"/>
            <w:vAlign w:val="center"/>
          </w:tcPr>
          <w:p>
            <w:pPr>
              <w:pStyle w:val="178"/>
              <w:jc w:val="left"/>
              <w:rPr>
                <w:rFonts w:hint="eastAsia"/>
              </w:rPr>
            </w:pPr>
          </w:p>
        </w:tc>
      </w:tr>
      <w:tr>
        <w:tblPrEx>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CellMar>
            <w:top w:w="0" w:type="dxa"/>
            <w:left w:w="0" w:type="dxa"/>
            <w:bottom w:w="0" w:type="dxa"/>
            <w:right w:w="0" w:type="dxa"/>
          </w:tblCellMar>
        </w:tblPrEx>
        <w:trPr>
          <w:trHeight w:val="28" w:hRule="atLeast"/>
          <w:jc w:val="center"/>
        </w:trPr>
        <w:tc>
          <w:tcPr>
            <w:tcW w:w="1346" w:type="dxa"/>
            <w:vMerge w:val="continue"/>
            <w:tcBorders>
              <w:top w:val="single" w:color="auto" w:sz="4" w:space="0"/>
              <w:bottom w:val="single" w:color="auto" w:sz="4" w:space="0"/>
              <w:right w:val="single" w:color="auto" w:sz="4" w:space="0"/>
            </w:tcBorders>
            <w:shd w:val="clear" w:color="auto" w:fill="FFFFFF" w:themeFill="background1"/>
            <w:vAlign w:val="center"/>
          </w:tcPr>
          <w:p>
            <w:pPr>
              <w:pStyle w:val="178"/>
              <w:jc w:val="left"/>
              <w:rPr>
                <w:rFonts w:hint="eastAsia"/>
              </w:rPr>
            </w:pPr>
          </w:p>
        </w:tc>
        <w:tc>
          <w:tcPr>
            <w:tcW w:w="1300" w:type="dxa"/>
            <w:vMerge w:val="continue"/>
            <w:tcBorders>
              <w:left w:val="single" w:color="auto" w:sz="4" w:space="0"/>
              <w:right w:val="single" w:color="auto" w:sz="4" w:space="0"/>
            </w:tcBorders>
            <w:shd w:val="clear" w:color="auto" w:fill="E2EFD9" w:themeFill="accent6" w:themeFillTint="33"/>
            <w:vAlign w:val="center"/>
          </w:tcPr>
          <w:p>
            <w:pPr>
              <w:pStyle w:val="178"/>
              <w:jc w:val="left"/>
              <w:rPr>
                <w:rFonts w:hint="eastAsia"/>
              </w:rPr>
            </w:pPr>
          </w:p>
        </w:tc>
        <w:tc>
          <w:tcPr>
            <w:tcW w:w="4660" w:type="dxa"/>
            <w:tcBorders>
              <w:top w:val="single" w:color="auto" w:sz="4" w:space="0"/>
              <w:left w:val="single" w:color="auto" w:sz="4" w:space="0"/>
              <w:bottom w:val="single" w:color="auto" w:sz="4" w:space="0"/>
            </w:tcBorders>
            <w:shd w:val="clear" w:color="auto" w:fill="E2EFD9" w:themeFill="accent6" w:themeFillTint="33"/>
            <w:vAlign w:val="center"/>
          </w:tcPr>
          <w:p>
            <w:pPr>
              <w:pStyle w:val="178"/>
              <w:jc w:val="left"/>
              <w:rPr>
                <w:rFonts w:hint="eastAsia"/>
              </w:rPr>
            </w:pPr>
            <w:r>
              <w:rPr>
                <w:rFonts w:hint="eastAsia"/>
                <w:lang w:val="en-US" w:eastAsia="zh-CN"/>
              </w:rPr>
              <w:t>具体审查工作至少包括：反垄断合规调查、制订审查计划和工作方案、相关人员访谈、查阅文件和资料、征询利益相关方意见</w:t>
            </w:r>
            <w:r>
              <w:rPr>
                <w:rFonts w:hint="eastAsia"/>
                <w:lang w:eastAsia="zh-CN"/>
              </w:rPr>
              <w:t>、</w:t>
            </w:r>
            <w:r>
              <w:rPr>
                <w:rFonts w:hint="eastAsia"/>
                <w:lang w:val="en-US" w:eastAsia="zh-CN"/>
              </w:rPr>
              <w:t>征询反垄断执法机构和行业主管部门意见、征询行业协会、商会等社会组织的意见、咨询专业机构、定性分析、定量分析、测评和抽查。</w:t>
            </w:r>
          </w:p>
        </w:tc>
        <w:tc>
          <w:tcPr>
            <w:tcW w:w="848" w:type="dxa"/>
            <w:shd w:val="clear" w:color="auto" w:fill="E2EFD9" w:themeFill="accent6" w:themeFillTint="33"/>
            <w:vAlign w:val="center"/>
          </w:tcPr>
          <w:p>
            <w:pPr>
              <w:pStyle w:val="178"/>
              <w:jc w:val="left"/>
              <w:rPr>
                <w:rFonts w:hint="eastAsia"/>
              </w:rPr>
            </w:pPr>
          </w:p>
        </w:tc>
      </w:tr>
      <w:tr>
        <w:tblPrEx>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CellMar>
            <w:top w:w="0" w:type="dxa"/>
            <w:left w:w="0" w:type="dxa"/>
            <w:bottom w:w="0" w:type="dxa"/>
            <w:right w:w="0" w:type="dxa"/>
          </w:tblCellMar>
        </w:tblPrEx>
        <w:trPr>
          <w:trHeight w:val="28" w:hRule="atLeast"/>
          <w:jc w:val="center"/>
        </w:trPr>
        <w:tc>
          <w:tcPr>
            <w:tcW w:w="1346" w:type="dxa"/>
            <w:vMerge w:val="continue"/>
            <w:tcBorders>
              <w:top w:val="single" w:color="auto" w:sz="4" w:space="0"/>
              <w:bottom w:val="single" w:color="auto" w:sz="4" w:space="0"/>
              <w:right w:val="single" w:color="auto" w:sz="4" w:space="0"/>
            </w:tcBorders>
            <w:shd w:val="clear" w:color="auto" w:fill="FFFFFF" w:themeFill="background1"/>
            <w:vAlign w:val="center"/>
          </w:tcPr>
          <w:p>
            <w:pPr>
              <w:pStyle w:val="178"/>
              <w:jc w:val="left"/>
              <w:rPr>
                <w:rFonts w:hint="eastAsia"/>
              </w:rPr>
            </w:pPr>
          </w:p>
        </w:tc>
        <w:tc>
          <w:tcPr>
            <w:tcW w:w="1300" w:type="dxa"/>
            <w:vMerge w:val="continue"/>
            <w:tcBorders>
              <w:left w:val="single" w:color="auto" w:sz="4" w:space="0"/>
              <w:right w:val="single" w:color="auto" w:sz="4" w:space="0"/>
            </w:tcBorders>
            <w:shd w:val="clear" w:color="auto" w:fill="E2EFD9" w:themeFill="accent6" w:themeFillTint="33"/>
            <w:vAlign w:val="center"/>
          </w:tcPr>
          <w:p>
            <w:pPr>
              <w:pStyle w:val="178"/>
              <w:jc w:val="left"/>
              <w:rPr>
                <w:rFonts w:hint="eastAsia"/>
              </w:rPr>
            </w:pPr>
          </w:p>
        </w:tc>
        <w:tc>
          <w:tcPr>
            <w:tcW w:w="4660" w:type="dxa"/>
            <w:tcBorders>
              <w:top w:val="single" w:color="auto" w:sz="4" w:space="0"/>
              <w:left w:val="single" w:color="auto" w:sz="4" w:space="0"/>
              <w:bottom w:val="single" w:color="auto" w:sz="4" w:space="0"/>
            </w:tcBorders>
            <w:shd w:val="clear" w:color="auto" w:fill="E2EFD9" w:themeFill="accent6" w:themeFillTint="33"/>
            <w:vAlign w:val="center"/>
          </w:tcPr>
          <w:p>
            <w:pPr>
              <w:pStyle w:val="178"/>
              <w:jc w:val="left"/>
              <w:rPr>
                <w:rFonts w:hint="default" w:eastAsia="宋体"/>
                <w:lang w:val="en-US" w:eastAsia="zh-CN"/>
              </w:rPr>
            </w:pPr>
            <w:r>
              <w:rPr>
                <w:rFonts w:hint="eastAsia"/>
              </w:rPr>
              <w:t>经营者开展反垄断合规审查应结合风险清单逐一查对</w:t>
            </w:r>
            <w:r>
              <w:rPr>
                <w:rFonts w:hint="eastAsia"/>
                <w:lang w:eastAsia="zh-CN"/>
              </w:rPr>
              <w:t>，</w:t>
            </w:r>
            <w:r>
              <w:rPr>
                <w:rFonts w:hint="eastAsia"/>
                <w:lang w:val="en-US" w:eastAsia="zh-CN"/>
              </w:rPr>
              <w:t>并充分落实审查要点</w:t>
            </w:r>
          </w:p>
        </w:tc>
        <w:tc>
          <w:tcPr>
            <w:tcW w:w="848" w:type="dxa"/>
            <w:shd w:val="clear" w:color="auto" w:fill="E2EFD9" w:themeFill="accent6" w:themeFillTint="33"/>
            <w:vAlign w:val="center"/>
          </w:tcPr>
          <w:p>
            <w:pPr>
              <w:pStyle w:val="178"/>
              <w:jc w:val="left"/>
              <w:rPr>
                <w:rFonts w:hint="eastAsia"/>
              </w:rPr>
            </w:pPr>
          </w:p>
        </w:tc>
      </w:tr>
      <w:tr>
        <w:tblPrEx>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CellMar>
            <w:top w:w="0" w:type="dxa"/>
            <w:left w:w="0" w:type="dxa"/>
            <w:bottom w:w="0" w:type="dxa"/>
            <w:right w:w="0" w:type="dxa"/>
          </w:tblCellMar>
        </w:tblPrEx>
        <w:trPr>
          <w:trHeight w:val="28" w:hRule="atLeast"/>
          <w:jc w:val="center"/>
        </w:trPr>
        <w:tc>
          <w:tcPr>
            <w:tcW w:w="1346" w:type="dxa"/>
            <w:vMerge w:val="continue"/>
            <w:tcBorders>
              <w:top w:val="single" w:color="auto" w:sz="4" w:space="0"/>
              <w:bottom w:val="single" w:color="auto" w:sz="4" w:space="0"/>
              <w:right w:val="single" w:color="auto" w:sz="4" w:space="0"/>
            </w:tcBorders>
            <w:shd w:val="clear" w:color="auto" w:fill="FFFFFF" w:themeFill="background1"/>
            <w:vAlign w:val="center"/>
          </w:tcPr>
          <w:p>
            <w:pPr>
              <w:pStyle w:val="178"/>
              <w:jc w:val="left"/>
              <w:rPr>
                <w:rFonts w:hint="eastAsia"/>
              </w:rPr>
            </w:pPr>
          </w:p>
        </w:tc>
        <w:tc>
          <w:tcPr>
            <w:tcW w:w="1300" w:type="dxa"/>
            <w:vMerge w:val="continue"/>
            <w:tcBorders>
              <w:left w:val="single" w:color="auto" w:sz="4" w:space="0"/>
              <w:right w:val="single" w:color="auto" w:sz="4" w:space="0"/>
            </w:tcBorders>
            <w:shd w:val="clear" w:color="auto" w:fill="E2EFD9" w:themeFill="accent6" w:themeFillTint="33"/>
            <w:vAlign w:val="center"/>
          </w:tcPr>
          <w:p>
            <w:pPr>
              <w:pStyle w:val="178"/>
              <w:jc w:val="left"/>
              <w:rPr>
                <w:rFonts w:hint="eastAsia"/>
              </w:rPr>
            </w:pPr>
          </w:p>
        </w:tc>
        <w:tc>
          <w:tcPr>
            <w:tcW w:w="4660" w:type="dxa"/>
            <w:tcBorders>
              <w:top w:val="single" w:color="auto" w:sz="4" w:space="0"/>
              <w:left w:val="single" w:color="auto" w:sz="4" w:space="0"/>
              <w:bottom w:val="single" w:color="auto" w:sz="4" w:space="0"/>
            </w:tcBorders>
            <w:shd w:val="clear" w:color="auto" w:fill="E2EFD9" w:themeFill="accent6" w:themeFillTint="33"/>
            <w:vAlign w:val="center"/>
          </w:tcPr>
          <w:p>
            <w:pPr>
              <w:pStyle w:val="178"/>
              <w:jc w:val="left"/>
              <w:rPr>
                <w:rFonts w:hint="default" w:eastAsia="宋体"/>
                <w:lang w:val="en-US" w:eastAsia="zh-CN"/>
              </w:rPr>
            </w:pPr>
            <w:r>
              <w:rPr>
                <w:rFonts w:hint="eastAsia"/>
                <w:lang w:val="en-US" w:eastAsia="zh-CN"/>
              </w:rPr>
              <w:t>审查内容充分该函反垄断合规自我审查的基本要求</w:t>
            </w:r>
          </w:p>
        </w:tc>
        <w:tc>
          <w:tcPr>
            <w:tcW w:w="848" w:type="dxa"/>
            <w:shd w:val="clear" w:color="auto" w:fill="E2EFD9" w:themeFill="accent6" w:themeFillTint="33"/>
            <w:vAlign w:val="center"/>
          </w:tcPr>
          <w:p>
            <w:pPr>
              <w:pStyle w:val="178"/>
              <w:jc w:val="left"/>
              <w:rPr>
                <w:rFonts w:hint="eastAsia"/>
              </w:rPr>
            </w:pPr>
          </w:p>
        </w:tc>
      </w:tr>
      <w:tr>
        <w:tblPrEx>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CellMar>
            <w:top w:w="0" w:type="dxa"/>
            <w:left w:w="0" w:type="dxa"/>
            <w:bottom w:w="0" w:type="dxa"/>
            <w:right w:w="0" w:type="dxa"/>
          </w:tblCellMar>
        </w:tblPrEx>
        <w:trPr>
          <w:trHeight w:val="37" w:hRule="atLeast"/>
          <w:jc w:val="center"/>
        </w:trPr>
        <w:tc>
          <w:tcPr>
            <w:tcW w:w="1346" w:type="dxa"/>
            <w:vMerge w:val="continue"/>
            <w:tcBorders>
              <w:top w:val="single" w:color="auto" w:sz="4" w:space="0"/>
              <w:bottom w:val="single" w:color="auto" w:sz="4" w:space="0"/>
              <w:right w:val="single" w:color="auto" w:sz="4" w:space="0"/>
            </w:tcBorders>
            <w:shd w:val="clear" w:color="auto" w:fill="FFFFFF" w:themeFill="background1"/>
            <w:vAlign w:val="center"/>
          </w:tcPr>
          <w:p>
            <w:pPr>
              <w:pStyle w:val="178"/>
              <w:rPr>
                <w:rFonts w:hint="eastAsia"/>
              </w:rPr>
            </w:pPr>
          </w:p>
        </w:tc>
        <w:tc>
          <w:tcPr>
            <w:tcW w:w="1300" w:type="dxa"/>
            <w:vMerge w:val="restart"/>
            <w:tcBorders>
              <w:top w:val="single" w:color="auto" w:sz="4" w:space="0"/>
              <w:left w:val="single" w:color="auto" w:sz="4" w:space="0"/>
              <w:right w:val="single" w:color="auto" w:sz="4" w:space="0"/>
            </w:tcBorders>
            <w:shd w:val="clear" w:color="auto" w:fill="FEF2CC" w:themeFill="accent4" w:themeFillTint="33"/>
            <w:vAlign w:val="center"/>
          </w:tcPr>
          <w:p>
            <w:pPr>
              <w:pStyle w:val="178"/>
              <w:rPr>
                <w:rFonts w:hint="eastAsia"/>
              </w:rPr>
            </w:pPr>
            <w:r>
              <w:rPr>
                <w:rFonts w:hint="eastAsia" w:hAnsi="宋体"/>
              </w:rPr>
              <w:t>沟通与交流</w:t>
            </w:r>
          </w:p>
        </w:tc>
        <w:tc>
          <w:tcPr>
            <w:tcW w:w="4660" w:type="dxa"/>
            <w:tcBorders>
              <w:top w:val="single" w:color="auto" w:sz="4" w:space="0"/>
              <w:left w:val="single" w:color="auto" w:sz="4" w:space="0"/>
              <w:bottom w:val="single" w:color="auto" w:sz="4" w:space="0"/>
            </w:tcBorders>
            <w:shd w:val="clear" w:color="auto" w:fill="FEF2CC" w:themeFill="accent4" w:themeFillTint="33"/>
            <w:vAlign w:val="center"/>
          </w:tcPr>
          <w:p>
            <w:pPr>
              <w:pStyle w:val="178"/>
              <w:jc w:val="left"/>
              <w:rPr>
                <w:rFonts w:hint="eastAsia"/>
              </w:rPr>
            </w:pPr>
            <w:r>
              <w:rPr>
                <w:rFonts w:hint="eastAsia"/>
                <w:lang w:val="en-US" w:eastAsia="zh-CN"/>
              </w:rPr>
              <w:t>内部各层次和职能部门之间的信息交流，内部交流可通过例行的工作组会议、通讯简报、公告栏、互联网等手段或方法进行</w:t>
            </w:r>
          </w:p>
        </w:tc>
        <w:tc>
          <w:tcPr>
            <w:tcW w:w="848" w:type="dxa"/>
            <w:tcBorders>
              <w:top w:val="single" w:color="auto" w:sz="4" w:space="0"/>
            </w:tcBorders>
            <w:shd w:val="clear" w:color="auto" w:fill="FEF2CC" w:themeFill="accent4" w:themeFillTint="33"/>
            <w:vAlign w:val="center"/>
          </w:tcPr>
          <w:p>
            <w:pPr>
              <w:pStyle w:val="178"/>
              <w:rPr>
                <w:rFonts w:hint="eastAsia"/>
              </w:rPr>
            </w:pPr>
          </w:p>
        </w:tc>
      </w:tr>
      <w:tr>
        <w:tblPrEx>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CellMar>
            <w:top w:w="0" w:type="dxa"/>
            <w:left w:w="0" w:type="dxa"/>
            <w:bottom w:w="0" w:type="dxa"/>
            <w:right w:w="0" w:type="dxa"/>
          </w:tblCellMar>
        </w:tblPrEx>
        <w:trPr>
          <w:trHeight w:val="37" w:hRule="atLeast"/>
          <w:jc w:val="center"/>
        </w:trPr>
        <w:tc>
          <w:tcPr>
            <w:tcW w:w="1346" w:type="dxa"/>
            <w:vMerge w:val="continue"/>
            <w:tcBorders>
              <w:top w:val="single" w:color="auto" w:sz="4" w:space="0"/>
              <w:bottom w:val="single" w:color="auto" w:sz="4" w:space="0"/>
              <w:right w:val="single" w:color="auto" w:sz="4" w:space="0"/>
            </w:tcBorders>
            <w:shd w:val="clear" w:color="auto" w:fill="FFFFFF" w:themeFill="background1"/>
            <w:vAlign w:val="center"/>
          </w:tcPr>
          <w:p>
            <w:pPr>
              <w:pStyle w:val="178"/>
              <w:jc w:val="left"/>
            </w:pPr>
          </w:p>
        </w:tc>
        <w:tc>
          <w:tcPr>
            <w:tcW w:w="1300" w:type="dxa"/>
            <w:vMerge w:val="continue"/>
            <w:tcBorders>
              <w:left w:val="single" w:color="auto" w:sz="4" w:space="0"/>
              <w:right w:val="single" w:color="auto" w:sz="4" w:space="0"/>
            </w:tcBorders>
            <w:shd w:val="clear" w:color="auto" w:fill="FEF2CC" w:themeFill="accent4" w:themeFillTint="33"/>
            <w:vAlign w:val="center"/>
          </w:tcPr>
          <w:p>
            <w:pPr>
              <w:pStyle w:val="178"/>
              <w:jc w:val="left"/>
            </w:pPr>
          </w:p>
        </w:tc>
        <w:tc>
          <w:tcPr>
            <w:tcW w:w="4660" w:type="dxa"/>
            <w:tcBorders>
              <w:top w:val="single" w:color="auto" w:sz="4" w:space="0"/>
              <w:left w:val="single" w:color="auto" w:sz="4" w:space="0"/>
              <w:bottom w:val="single" w:color="auto" w:sz="4" w:space="0"/>
            </w:tcBorders>
            <w:shd w:val="clear" w:color="auto" w:fill="FEF2CC" w:themeFill="accent4" w:themeFillTint="33"/>
            <w:vAlign w:val="center"/>
          </w:tcPr>
          <w:p>
            <w:pPr>
              <w:pStyle w:val="178"/>
              <w:jc w:val="left"/>
              <w:rPr>
                <w:rFonts w:hint="eastAsia"/>
              </w:rPr>
            </w:pPr>
            <w:r>
              <w:rPr>
                <w:rFonts w:hint="eastAsia"/>
                <w:lang w:val="en-US" w:eastAsia="zh-CN"/>
              </w:rPr>
              <w:t>决策者应决定是否应就其反垄断合规风险管理与外部进行信息交流，决定如何交流交换信息。进行外部交流的手段可包括季度报告、年度报告，通讯简报、互联网和社区会议等</w:t>
            </w:r>
          </w:p>
        </w:tc>
        <w:tc>
          <w:tcPr>
            <w:tcW w:w="848" w:type="dxa"/>
            <w:shd w:val="clear" w:color="auto" w:fill="FEF2CC" w:themeFill="accent4" w:themeFillTint="33"/>
            <w:vAlign w:val="center"/>
          </w:tcPr>
          <w:p>
            <w:pPr>
              <w:pStyle w:val="178"/>
              <w:jc w:val="left"/>
              <w:rPr>
                <w:rFonts w:hint="eastAsia"/>
              </w:rPr>
            </w:pPr>
          </w:p>
        </w:tc>
      </w:tr>
      <w:tr>
        <w:tblPrEx>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CellMar>
            <w:top w:w="0" w:type="dxa"/>
            <w:left w:w="0" w:type="dxa"/>
            <w:bottom w:w="0" w:type="dxa"/>
            <w:right w:w="0" w:type="dxa"/>
          </w:tblCellMar>
        </w:tblPrEx>
        <w:trPr>
          <w:trHeight w:val="37" w:hRule="atLeast"/>
          <w:jc w:val="center"/>
        </w:trPr>
        <w:tc>
          <w:tcPr>
            <w:tcW w:w="1346" w:type="dxa"/>
            <w:vMerge w:val="continue"/>
            <w:tcBorders>
              <w:top w:val="single" w:color="auto" w:sz="4" w:space="0"/>
              <w:bottom w:val="single" w:color="auto" w:sz="4" w:space="0"/>
              <w:right w:val="single" w:color="auto" w:sz="4" w:space="0"/>
            </w:tcBorders>
            <w:shd w:val="clear" w:color="auto" w:fill="FFFFFF" w:themeFill="background1"/>
            <w:vAlign w:val="center"/>
          </w:tcPr>
          <w:p>
            <w:pPr>
              <w:pStyle w:val="178"/>
              <w:jc w:val="left"/>
              <w:rPr>
                <w:rFonts w:hint="eastAsia"/>
              </w:rPr>
            </w:pPr>
          </w:p>
        </w:tc>
        <w:tc>
          <w:tcPr>
            <w:tcW w:w="1300" w:type="dxa"/>
            <w:vMerge w:val="continue"/>
            <w:tcBorders>
              <w:left w:val="single" w:color="auto" w:sz="4" w:space="0"/>
              <w:right w:val="single" w:color="auto" w:sz="4" w:space="0"/>
            </w:tcBorders>
            <w:shd w:val="clear" w:color="auto" w:fill="FEF2CC" w:themeFill="accent4" w:themeFillTint="33"/>
            <w:vAlign w:val="center"/>
          </w:tcPr>
          <w:p>
            <w:pPr>
              <w:pStyle w:val="178"/>
              <w:jc w:val="left"/>
              <w:rPr>
                <w:rFonts w:hint="eastAsia"/>
              </w:rPr>
            </w:pPr>
          </w:p>
        </w:tc>
        <w:tc>
          <w:tcPr>
            <w:tcW w:w="4660" w:type="dxa"/>
            <w:tcBorders>
              <w:top w:val="single" w:color="auto" w:sz="4" w:space="0"/>
              <w:left w:val="single" w:color="auto" w:sz="4" w:space="0"/>
              <w:bottom w:val="single" w:color="auto" w:sz="4" w:space="0"/>
            </w:tcBorders>
            <w:shd w:val="clear" w:color="auto" w:fill="FEF2CC" w:themeFill="accent4" w:themeFillTint="33"/>
            <w:vAlign w:val="center"/>
          </w:tcPr>
          <w:p>
            <w:pPr>
              <w:pStyle w:val="178"/>
              <w:jc w:val="left"/>
              <w:rPr>
                <w:rFonts w:hint="eastAsia"/>
              </w:rPr>
            </w:pPr>
            <w:r>
              <w:rPr>
                <w:rFonts w:hint="eastAsia"/>
                <w:lang w:val="en-US" w:eastAsia="zh-CN"/>
              </w:rPr>
              <w:t>外部尤其需要注意确保内部敏感信息不会被泄露，进而因此产生竞争违规的风险，如与外部交换价格信息、定价模型、算法等高度敏感信息</w:t>
            </w:r>
          </w:p>
        </w:tc>
        <w:tc>
          <w:tcPr>
            <w:tcW w:w="848" w:type="dxa"/>
            <w:shd w:val="clear" w:color="auto" w:fill="FEF2CC" w:themeFill="accent4" w:themeFillTint="33"/>
            <w:vAlign w:val="center"/>
          </w:tcPr>
          <w:p>
            <w:pPr>
              <w:pStyle w:val="178"/>
              <w:jc w:val="left"/>
              <w:rPr>
                <w:rFonts w:hint="eastAsia"/>
              </w:rPr>
            </w:pPr>
          </w:p>
        </w:tc>
      </w:tr>
      <w:tr>
        <w:tblPrEx>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CellMar>
            <w:top w:w="0" w:type="dxa"/>
            <w:left w:w="0" w:type="dxa"/>
            <w:bottom w:w="0" w:type="dxa"/>
            <w:right w:w="0" w:type="dxa"/>
          </w:tblCellMar>
        </w:tblPrEx>
        <w:trPr>
          <w:trHeight w:val="37" w:hRule="atLeast"/>
          <w:jc w:val="center"/>
        </w:trPr>
        <w:tc>
          <w:tcPr>
            <w:tcW w:w="1346" w:type="dxa"/>
            <w:vMerge w:val="continue"/>
            <w:tcBorders>
              <w:top w:val="single" w:color="auto" w:sz="4" w:space="0"/>
              <w:bottom w:val="single" w:color="auto" w:sz="4" w:space="0"/>
              <w:right w:val="single" w:color="auto" w:sz="4" w:space="0"/>
            </w:tcBorders>
            <w:shd w:val="clear" w:color="auto" w:fill="FFFFFF" w:themeFill="background1"/>
            <w:vAlign w:val="center"/>
          </w:tcPr>
          <w:p>
            <w:pPr>
              <w:pStyle w:val="178"/>
              <w:jc w:val="left"/>
              <w:rPr>
                <w:rFonts w:hint="eastAsia"/>
              </w:rPr>
            </w:pPr>
          </w:p>
        </w:tc>
        <w:tc>
          <w:tcPr>
            <w:tcW w:w="1300" w:type="dxa"/>
            <w:vMerge w:val="continue"/>
            <w:tcBorders>
              <w:left w:val="single" w:color="auto" w:sz="4" w:space="0"/>
              <w:right w:val="single" w:color="auto" w:sz="4" w:space="0"/>
            </w:tcBorders>
            <w:shd w:val="clear" w:color="auto" w:fill="FEF2CC" w:themeFill="accent4" w:themeFillTint="33"/>
            <w:vAlign w:val="center"/>
          </w:tcPr>
          <w:p>
            <w:pPr>
              <w:pStyle w:val="178"/>
              <w:jc w:val="left"/>
              <w:rPr>
                <w:rFonts w:hint="eastAsia"/>
              </w:rPr>
            </w:pPr>
          </w:p>
        </w:tc>
        <w:tc>
          <w:tcPr>
            <w:tcW w:w="4660" w:type="dxa"/>
            <w:tcBorders>
              <w:top w:val="single" w:color="auto" w:sz="4" w:space="0"/>
              <w:left w:val="single" w:color="auto" w:sz="4" w:space="0"/>
              <w:bottom w:val="single" w:color="auto" w:sz="4" w:space="0"/>
            </w:tcBorders>
            <w:shd w:val="clear" w:color="auto" w:fill="FEF2CC" w:themeFill="accent4" w:themeFillTint="33"/>
            <w:vAlign w:val="center"/>
          </w:tcPr>
          <w:p>
            <w:pPr>
              <w:pStyle w:val="178"/>
              <w:jc w:val="left"/>
              <w:rPr>
                <w:rFonts w:hint="eastAsia"/>
              </w:rPr>
            </w:pPr>
            <w:r>
              <w:rPr>
                <w:rFonts w:hint="eastAsia"/>
                <w:lang w:val="en-US" w:eastAsia="zh-CN"/>
              </w:rPr>
              <w:t>与其他具有反垄断合规管理职能的监督部门（如审计、监察部门）建立合作与信息交流机制</w:t>
            </w:r>
          </w:p>
        </w:tc>
        <w:tc>
          <w:tcPr>
            <w:tcW w:w="848" w:type="dxa"/>
            <w:shd w:val="clear" w:color="auto" w:fill="FEF2CC" w:themeFill="accent4" w:themeFillTint="33"/>
            <w:vAlign w:val="center"/>
          </w:tcPr>
          <w:p>
            <w:pPr>
              <w:pStyle w:val="178"/>
              <w:jc w:val="left"/>
              <w:rPr>
                <w:rFonts w:hint="eastAsia"/>
              </w:rPr>
            </w:pPr>
          </w:p>
        </w:tc>
      </w:tr>
      <w:tr>
        <w:tblPrEx>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CellMar>
            <w:top w:w="0" w:type="dxa"/>
            <w:left w:w="0" w:type="dxa"/>
            <w:bottom w:w="0" w:type="dxa"/>
            <w:right w:w="0" w:type="dxa"/>
          </w:tblCellMar>
        </w:tblPrEx>
        <w:trPr>
          <w:trHeight w:val="37" w:hRule="atLeast"/>
          <w:jc w:val="center"/>
        </w:trPr>
        <w:tc>
          <w:tcPr>
            <w:tcW w:w="1346" w:type="dxa"/>
            <w:vMerge w:val="continue"/>
            <w:tcBorders>
              <w:top w:val="single" w:color="auto" w:sz="4" w:space="0"/>
              <w:bottom w:val="single" w:color="auto" w:sz="4" w:space="0"/>
              <w:right w:val="single" w:color="auto" w:sz="4" w:space="0"/>
            </w:tcBorders>
            <w:shd w:val="clear" w:color="auto" w:fill="FFFFFF" w:themeFill="background1"/>
            <w:vAlign w:val="center"/>
          </w:tcPr>
          <w:p>
            <w:pPr>
              <w:pStyle w:val="178"/>
              <w:jc w:val="left"/>
              <w:rPr>
                <w:rFonts w:hint="eastAsia"/>
              </w:rPr>
            </w:pPr>
          </w:p>
        </w:tc>
        <w:tc>
          <w:tcPr>
            <w:tcW w:w="1300" w:type="dxa"/>
            <w:vMerge w:val="continue"/>
            <w:tcBorders>
              <w:left w:val="single" w:color="auto" w:sz="4" w:space="0"/>
              <w:right w:val="single" w:color="auto" w:sz="4" w:space="0"/>
            </w:tcBorders>
            <w:shd w:val="clear" w:color="auto" w:fill="FEF2CC" w:themeFill="accent4" w:themeFillTint="33"/>
            <w:vAlign w:val="center"/>
          </w:tcPr>
          <w:p>
            <w:pPr>
              <w:pStyle w:val="178"/>
              <w:jc w:val="left"/>
              <w:rPr>
                <w:rFonts w:hint="eastAsia"/>
              </w:rPr>
            </w:pPr>
          </w:p>
        </w:tc>
        <w:tc>
          <w:tcPr>
            <w:tcW w:w="4660" w:type="dxa"/>
            <w:tcBorders>
              <w:top w:val="single" w:color="auto" w:sz="4" w:space="0"/>
              <w:left w:val="single" w:color="auto" w:sz="4" w:space="0"/>
              <w:bottom w:val="single" w:color="auto" w:sz="4" w:space="0"/>
            </w:tcBorders>
            <w:shd w:val="clear" w:color="auto" w:fill="FEF2CC" w:themeFill="accent4" w:themeFillTint="33"/>
            <w:vAlign w:val="center"/>
          </w:tcPr>
          <w:p>
            <w:pPr>
              <w:pStyle w:val="178"/>
              <w:jc w:val="left"/>
              <w:rPr>
                <w:rFonts w:hint="eastAsia"/>
              </w:rPr>
            </w:pPr>
            <w:r>
              <w:rPr>
                <w:rFonts w:hint="eastAsia"/>
                <w:lang w:val="en-US" w:eastAsia="zh-CN"/>
              </w:rPr>
              <w:t>与反垄断执法机构（包括业务所涉国家和地区的反垄断执法主管机构）建立沟通渠道，以了解反垄断执法机构期望的反垄断合规流程、内容，就复杂或专业性强且存在重大反垄断合规风险的事项，可以及时获得咨询</w:t>
            </w:r>
          </w:p>
        </w:tc>
        <w:tc>
          <w:tcPr>
            <w:tcW w:w="848" w:type="dxa"/>
            <w:shd w:val="clear" w:color="auto" w:fill="FEF2CC" w:themeFill="accent4" w:themeFillTint="33"/>
            <w:vAlign w:val="center"/>
          </w:tcPr>
          <w:p>
            <w:pPr>
              <w:pStyle w:val="178"/>
              <w:jc w:val="left"/>
              <w:rPr>
                <w:rFonts w:hint="eastAsia"/>
              </w:rPr>
            </w:pPr>
          </w:p>
        </w:tc>
      </w:tr>
      <w:tr>
        <w:tblPrEx>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CellMar>
            <w:top w:w="0" w:type="dxa"/>
            <w:left w:w="0" w:type="dxa"/>
            <w:bottom w:w="0" w:type="dxa"/>
            <w:right w:w="0" w:type="dxa"/>
          </w:tblCellMar>
        </w:tblPrEx>
        <w:trPr>
          <w:trHeight w:val="37" w:hRule="atLeast"/>
          <w:jc w:val="center"/>
        </w:trPr>
        <w:tc>
          <w:tcPr>
            <w:tcW w:w="1346" w:type="dxa"/>
            <w:vMerge w:val="continue"/>
            <w:tcBorders>
              <w:bottom w:val="single" w:color="auto" w:sz="4" w:space="0"/>
              <w:right w:val="single" w:color="auto" w:sz="4" w:space="0"/>
            </w:tcBorders>
            <w:shd w:val="clear" w:color="auto" w:fill="FFFFFF" w:themeFill="background1"/>
            <w:vAlign w:val="center"/>
          </w:tcPr>
          <w:p>
            <w:pPr>
              <w:pStyle w:val="178"/>
              <w:jc w:val="left"/>
              <w:rPr>
                <w:rFonts w:hint="eastAsia"/>
              </w:rPr>
            </w:pPr>
          </w:p>
        </w:tc>
        <w:tc>
          <w:tcPr>
            <w:tcW w:w="1300" w:type="dxa"/>
            <w:vMerge w:val="continue"/>
            <w:tcBorders>
              <w:left w:val="single" w:color="auto" w:sz="4" w:space="0"/>
              <w:bottom w:val="single" w:color="auto" w:sz="4" w:space="0"/>
              <w:right w:val="single" w:color="auto" w:sz="4" w:space="0"/>
            </w:tcBorders>
            <w:shd w:val="clear" w:color="auto" w:fill="FEF2CC" w:themeFill="accent4" w:themeFillTint="33"/>
            <w:vAlign w:val="center"/>
          </w:tcPr>
          <w:p>
            <w:pPr>
              <w:pStyle w:val="178"/>
              <w:jc w:val="left"/>
              <w:rPr>
                <w:rFonts w:hint="eastAsia"/>
              </w:rPr>
            </w:pPr>
          </w:p>
        </w:tc>
        <w:tc>
          <w:tcPr>
            <w:tcW w:w="4660" w:type="dxa"/>
            <w:tcBorders>
              <w:top w:val="single" w:color="auto" w:sz="4" w:space="0"/>
              <w:left w:val="single" w:color="auto" w:sz="4" w:space="0"/>
              <w:bottom w:val="single" w:color="auto" w:sz="4" w:space="0"/>
            </w:tcBorders>
            <w:shd w:val="clear" w:color="auto" w:fill="FEF2CC" w:themeFill="accent4" w:themeFillTint="33"/>
            <w:vAlign w:val="center"/>
          </w:tcPr>
          <w:p>
            <w:pPr>
              <w:pStyle w:val="178"/>
              <w:jc w:val="left"/>
              <w:rPr>
                <w:rFonts w:hint="eastAsia"/>
              </w:rPr>
            </w:pPr>
            <w:r>
              <w:rPr>
                <w:rFonts w:hint="eastAsia"/>
                <w:lang w:val="en-US" w:eastAsia="zh-CN"/>
              </w:rPr>
              <w:t>与外部反垄断合规专业服务机构建立方便快捷畅通的沟通、咨询渠道</w:t>
            </w:r>
          </w:p>
        </w:tc>
        <w:tc>
          <w:tcPr>
            <w:tcW w:w="848" w:type="dxa"/>
            <w:tcBorders>
              <w:bottom w:val="single" w:color="auto" w:sz="4" w:space="0"/>
            </w:tcBorders>
            <w:shd w:val="clear" w:color="auto" w:fill="FEF2CC" w:themeFill="accent4" w:themeFillTint="33"/>
            <w:vAlign w:val="center"/>
          </w:tcPr>
          <w:p>
            <w:pPr>
              <w:pStyle w:val="178"/>
              <w:jc w:val="left"/>
              <w:rPr>
                <w:rFonts w:hint="eastAsia"/>
              </w:rPr>
            </w:pPr>
          </w:p>
        </w:tc>
      </w:tr>
      <w:tr>
        <w:tblPrEx>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CellMar>
            <w:top w:w="0" w:type="dxa"/>
            <w:left w:w="0" w:type="dxa"/>
            <w:bottom w:w="0" w:type="dxa"/>
            <w:right w:w="0" w:type="dxa"/>
          </w:tblCellMar>
        </w:tblPrEx>
        <w:trPr>
          <w:trHeight w:val="37" w:hRule="atLeast"/>
          <w:jc w:val="center"/>
        </w:trPr>
        <w:tc>
          <w:tcPr>
            <w:tcW w:w="1346" w:type="dxa"/>
            <w:vMerge w:val="continue"/>
            <w:tcBorders>
              <w:top w:val="single" w:color="auto" w:sz="4" w:space="0"/>
              <w:bottom w:val="single" w:color="auto" w:sz="4" w:space="0"/>
              <w:right w:val="single" w:color="auto" w:sz="4" w:space="0"/>
            </w:tcBorders>
            <w:shd w:val="clear" w:color="auto" w:fill="FFFFFF" w:themeFill="background1"/>
            <w:vAlign w:val="center"/>
          </w:tcPr>
          <w:p>
            <w:pPr>
              <w:pStyle w:val="178"/>
              <w:rPr>
                <w:rFonts w:hint="eastAsia"/>
              </w:rPr>
            </w:pPr>
          </w:p>
        </w:tc>
        <w:tc>
          <w:tcPr>
            <w:tcW w:w="1300" w:type="dxa"/>
            <w:vMerge w:val="restart"/>
            <w:tcBorders>
              <w:top w:val="single" w:color="auto" w:sz="4" w:space="0"/>
              <w:left w:val="single" w:color="auto" w:sz="4" w:space="0"/>
              <w:right w:val="single" w:color="auto" w:sz="4" w:space="0"/>
            </w:tcBorders>
            <w:shd w:val="clear" w:color="auto" w:fill="FEF2CC" w:themeFill="accent4" w:themeFillTint="33"/>
            <w:vAlign w:val="center"/>
          </w:tcPr>
          <w:p>
            <w:pPr>
              <w:pStyle w:val="178"/>
              <w:rPr>
                <w:rFonts w:hint="eastAsia"/>
              </w:rPr>
            </w:pPr>
            <w:r>
              <w:rPr>
                <w:rFonts w:hint="eastAsia" w:hAnsi="宋体"/>
              </w:rPr>
              <w:t>应急与响应</w:t>
            </w:r>
          </w:p>
        </w:tc>
        <w:tc>
          <w:tcPr>
            <w:tcW w:w="4660" w:type="dxa"/>
            <w:tcBorders>
              <w:top w:val="single" w:color="auto" w:sz="4" w:space="0"/>
              <w:left w:val="single" w:color="auto" w:sz="4" w:space="0"/>
              <w:bottom w:val="single" w:color="auto" w:sz="4" w:space="0"/>
            </w:tcBorders>
            <w:shd w:val="clear" w:color="auto" w:fill="FEF2CC" w:themeFill="accent4" w:themeFillTint="33"/>
            <w:vAlign w:val="center"/>
          </w:tcPr>
          <w:p>
            <w:pPr>
              <w:pStyle w:val="178"/>
              <w:jc w:val="left"/>
              <w:rPr>
                <w:rFonts w:hint="eastAsia"/>
              </w:rPr>
            </w:pPr>
            <w:r>
              <w:rPr>
                <w:rFonts w:hint="eastAsia"/>
              </w:rPr>
              <w:t>经营者应建立、实施并保持应急准备和响应规范，用于识别潜在紧急情况，规定响应措施，保障响应速度、专业人员和工作安排，包括提前做好寻求反垄断合规专家或第三方专业机构支持的预案</w:t>
            </w:r>
          </w:p>
        </w:tc>
        <w:tc>
          <w:tcPr>
            <w:tcW w:w="848" w:type="dxa"/>
            <w:tcBorders>
              <w:top w:val="single" w:color="auto" w:sz="4" w:space="0"/>
            </w:tcBorders>
            <w:shd w:val="clear" w:color="auto" w:fill="FEF2CC" w:themeFill="accent4" w:themeFillTint="33"/>
            <w:vAlign w:val="center"/>
          </w:tcPr>
          <w:p>
            <w:pPr>
              <w:pStyle w:val="178"/>
              <w:rPr>
                <w:rFonts w:hint="eastAsia"/>
              </w:rPr>
            </w:pPr>
          </w:p>
        </w:tc>
      </w:tr>
      <w:tr>
        <w:tblPrEx>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CellMar>
            <w:top w:w="0" w:type="dxa"/>
            <w:left w:w="0" w:type="dxa"/>
            <w:bottom w:w="0" w:type="dxa"/>
            <w:right w:w="0" w:type="dxa"/>
          </w:tblCellMar>
        </w:tblPrEx>
        <w:trPr>
          <w:trHeight w:val="37" w:hRule="atLeast"/>
          <w:jc w:val="center"/>
        </w:trPr>
        <w:tc>
          <w:tcPr>
            <w:tcW w:w="1346" w:type="dxa"/>
            <w:vMerge w:val="continue"/>
            <w:tcBorders>
              <w:top w:val="single" w:color="auto" w:sz="4" w:space="0"/>
              <w:bottom w:val="single" w:color="auto" w:sz="4" w:space="0"/>
              <w:right w:val="single" w:color="auto" w:sz="4" w:space="0"/>
            </w:tcBorders>
            <w:shd w:val="clear" w:color="auto" w:fill="FFFFFF" w:themeFill="background1"/>
            <w:vAlign w:val="center"/>
          </w:tcPr>
          <w:p>
            <w:pPr>
              <w:pStyle w:val="178"/>
              <w:jc w:val="left"/>
            </w:pPr>
          </w:p>
        </w:tc>
        <w:tc>
          <w:tcPr>
            <w:tcW w:w="1300" w:type="dxa"/>
            <w:vMerge w:val="continue"/>
            <w:tcBorders>
              <w:left w:val="single" w:color="auto" w:sz="4" w:space="0"/>
              <w:right w:val="single" w:color="auto" w:sz="4" w:space="0"/>
            </w:tcBorders>
            <w:shd w:val="clear" w:color="auto" w:fill="FEF2CC" w:themeFill="accent4" w:themeFillTint="33"/>
            <w:vAlign w:val="center"/>
          </w:tcPr>
          <w:p>
            <w:pPr>
              <w:pStyle w:val="178"/>
              <w:jc w:val="left"/>
            </w:pPr>
          </w:p>
        </w:tc>
        <w:tc>
          <w:tcPr>
            <w:tcW w:w="4660" w:type="dxa"/>
            <w:tcBorders>
              <w:top w:val="single" w:color="auto" w:sz="4" w:space="0"/>
              <w:left w:val="single" w:color="auto" w:sz="4" w:space="0"/>
              <w:bottom w:val="single" w:color="auto" w:sz="4" w:space="0"/>
            </w:tcBorders>
            <w:shd w:val="clear" w:color="auto" w:fill="FEF2CC" w:themeFill="accent4" w:themeFillTint="33"/>
            <w:vAlign w:val="center"/>
          </w:tcPr>
          <w:p>
            <w:pPr>
              <w:pStyle w:val="178"/>
              <w:jc w:val="left"/>
              <w:rPr>
                <w:rFonts w:hint="eastAsia"/>
              </w:rPr>
            </w:pPr>
            <w:r>
              <w:rPr>
                <w:rFonts w:hint="eastAsia"/>
              </w:rPr>
              <w:t>经营者应对实际发生的紧急情况作出快速识别和积极响应，并预防、减少或消除随之产生的反垄断合规管理风险造成的不良影响，尤其是媒体和舆论等社会面影响</w:t>
            </w:r>
          </w:p>
        </w:tc>
        <w:tc>
          <w:tcPr>
            <w:tcW w:w="848" w:type="dxa"/>
            <w:shd w:val="clear" w:color="auto" w:fill="FEF2CC" w:themeFill="accent4" w:themeFillTint="33"/>
            <w:vAlign w:val="center"/>
          </w:tcPr>
          <w:p>
            <w:pPr>
              <w:pStyle w:val="178"/>
              <w:jc w:val="left"/>
              <w:rPr>
                <w:rFonts w:hint="eastAsia"/>
              </w:rPr>
            </w:pPr>
          </w:p>
        </w:tc>
      </w:tr>
      <w:tr>
        <w:tblPrEx>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CellMar>
            <w:top w:w="0" w:type="dxa"/>
            <w:left w:w="0" w:type="dxa"/>
            <w:bottom w:w="0" w:type="dxa"/>
            <w:right w:w="0" w:type="dxa"/>
          </w:tblCellMar>
        </w:tblPrEx>
        <w:trPr>
          <w:trHeight w:val="37" w:hRule="atLeast"/>
          <w:jc w:val="center"/>
        </w:trPr>
        <w:tc>
          <w:tcPr>
            <w:tcW w:w="1346" w:type="dxa"/>
            <w:vMerge w:val="continue"/>
            <w:tcBorders>
              <w:top w:val="single" w:color="auto" w:sz="4" w:space="0"/>
              <w:bottom w:val="single" w:color="auto" w:sz="4" w:space="0"/>
              <w:right w:val="single" w:color="auto" w:sz="4" w:space="0"/>
            </w:tcBorders>
            <w:shd w:val="clear" w:color="auto" w:fill="FFFFFF" w:themeFill="background1"/>
            <w:vAlign w:val="center"/>
          </w:tcPr>
          <w:p>
            <w:pPr>
              <w:pStyle w:val="178"/>
              <w:jc w:val="left"/>
              <w:rPr>
                <w:rFonts w:hint="eastAsia"/>
              </w:rPr>
            </w:pPr>
          </w:p>
        </w:tc>
        <w:tc>
          <w:tcPr>
            <w:tcW w:w="1300" w:type="dxa"/>
            <w:vMerge w:val="continue"/>
            <w:tcBorders>
              <w:left w:val="single" w:color="auto" w:sz="4" w:space="0"/>
              <w:right w:val="single" w:color="auto" w:sz="4" w:space="0"/>
            </w:tcBorders>
            <w:shd w:val="clear" w:color="auto" w:fill="FEF2CC" w:themeFill="accent4" w:themeFillTint="33"/>
            <w:vAlign w:val="center"/>
          </w:tcPr>
          <w:p>
            <w:pPr>
              <w:pStyle w:val="178"/>
              <w:jc w:val="left"/>
              <w:rPr>
                <w:rFonts w:hint="eastAsia"/>
              </w:rPr>
            </w:pPr>
          </w:p>
        </w:tc>
        <w:tc>
          <w:tcPr>
            <w:tcW w:w="4660" w:type="dxa"/>
            <w:tcBorders>
              <w:top w:val="single" w:color="auto" w:sz="4" w:space="0"/>
              <w:left w:val="single" w:color="auto" w:sz="4" w:space="0"/>
              <w:bottom w:val="single" w:color="auto" w:sz="4" w:space="0"/>
            </w:tcBorders>
            <w:shd w:val="clear" w:color="auto" w:fill="FEF2CC" w:themeFill="accent4" w:themeFillTint="33"/>
            <w:vAlign w:val="center"/>
          </w:tcPr>
          <w:p>
            <w:pPr>
              <w:pStyle w:val="178"/>
              <w:jc w:val="left"/>
              <w:rPr>
                <w:rFonts w:hint="eastAsia"/>
              </w:rPr>
            </w:pPr>
            <w:r>
              <w:rPr>
                <w:rFonts w:hint="eastAsia"/>
              </w:rPr>
              <w:t>当反垄断执法机构开展调查时，经营者应积极配合，正确理解要求、依法妥当提供资料。在相要求不确定时，主动向调查机关报告、咨询；或者及时寻求外部专家顾问和专业机构支持，获专业意见和指导</w:t>
            </w:r>
          </w:p>
        </w:tc>
        <w:tc>
          <w:tcPr>
            <w:tcW w:w="848" w:type="dxa"/>
            <w:shd w:val="clear" w:color="auto" w:fill="FEF2CC" w:themeFill="accent4" w:themeFillTint="33"/>
            <w:vAlign w:val="center"/>
          </w:tcPr>
          <w:p>
            <w:pPr>
              <w:pStyle w:val="178"/>
              <w:jc w:val="left"/>
              <w:rPr>
                <w:rFonts w:hint="eastAsia"/>
              </w:rPr>
            </w:pPr>
          </w:p>
        </w:tc>
      </w:tr>
      <w:tr>
        <w:tblPrEx>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CellMar>
            <w:top w:w="0" w:type="dxa"/>
            <w:left w:w="0" w:type="dxa"/>
            <w:bottom w:w="0" w:type="dxa"/>
            <w:right w:w="0" w:type="dxa"/>
          </w:tblCellMar>
        </w:tblPrEx>
        <w:trPr>
          <w:trHeight w:val="37" w:hRule="atLeast"/>
          <w:jc w:val="center"/>
        </w:trPr>
        <w:tc>
          <w:tcPr>
            <w:tcW w:w="1346" w:type="dxa"/>
            <w:vMerge w:val="continue"/>
            <w:tcBorders>
              <w:top w:val="single" w:color="auto" w:sz="4" w:space="0"/>
              <w:bottom w:val="single" w:color="auto" w:sz="4" w:space="0"/>
              <w:right w:val="single" w:color="auto" w:sz="4" w:space="0"/>
            </w:tcBorders>
            <w:shd w:val="clear" w:color="auto" w:fill="FFFFFF" w:themeFill="background1"/>
            <w:vAlign w:val="center"/>
          </w:tcPr>
          <w:p>
            <w:pPr>
              <w:pStyle w:val="178"/>
              <w:jc w:val="left"/>
              <w:rPr>
                <w:rFonts w:hint="eastAsia"/>
              </w:rPr>
            </w:pPr>
          </w:p>
        </w:tc>
        <w:tc>
          <w:tcPr>
            <w:tcW w:w="1300" w:type="dxa"/>
            <w:vMerge w:val="continue"/>
            <w:tcBorders>
              <w:left w:val="single" w:color="auto" w:sz="4" w:space="0"/>
              <w:right w:val="single" w:color="auto" w:sz="4" w:space="0"/>
            </w:tcBorders>
            <w:shd w:val="clear" w:color="auto" w:fill="FEF2CC" w:themeFill="accent4" w:themeFillTint="33"/>
            <w:vAlign w:val="center"/>
          </w:tcPr>
          <w:p>
            <w:pPr>
              <w:pStyle w:val="178"/>
              <w:jc w:val="left"/>
              <w:rPr>
                <w:rFonts w:hint="eastAsia"/>
              </w:rPr>
            </w:pPr>
          </w:p>
        </w:tc>
        <w:tc>
          <w:tcPr>
            <w:tcW w:w="4660" w:type="dxa"/>
            <w:tcBorders>
              <w:top w:val="single" w:color="auto" w:sz="4" w:space="0"/>
              <w:left w:val="single" w:color="auto" w:sz="4" w:space="0"/>
              <w:bottom w:val="single" w:color="auto" w:sz="4" w:space="0"/>
            </w:tcBorders>
            <w:shd w:val="clear" w:color="auto" w:fill="FEF2CC" w:themeFill="accent4" w:themeFillTint="33"/>
            <w:vAlign w:val="center"/>
          </w:tcPr>
          <w:p>
            <w:pPr>
              <w:pStyle w:val="178"/>
              <w:jc w:val="left"/>
              <w:rPr>
                <w:rFonts w:hint="eastAsia"/>
              </w:rPr>
            </w:pPr>
            <w:r>
              <w:rPr>
                <w:rFonts w:hint="eastAsia"/>
              </w:rPr>
              <w:t>经营者不得拒绝提供调查机关提示的有关材料、信息，或者提供虚假材料、信息，或者隐匿、销毁、转移证据，或者拒绝、阻碍调查</w:t>
            </w:r>
          </w:p>
        </w:tc>
        <w:tc>
          <w:tcPr>
            <w:tcW w:w="848" w:type="dxa"/>
            <w:shd w:val="clear" w:color="auto" w:fill="FEF2CC" w:themeFill="accent4" w:themeFillTint="33"/>
            <w:vAlign w:val="center"/>
          </w:tcPr>
          <w:p>
            <w:pPr>
              <w:pStyle w:val="178"/>
              <w:jc w:val="left"/>
              <w:rPr>
                <w:rFonts w:hint="eastAsia"/>
              </w:rPr>
            </w:pPr>
          </w:p>
        </w:tc>
      </w:tr>
      <w:tr>
        <w:tblPrEx>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CellMar>
            <w:top w:w="0" w:type="dxa"/>
            <w:left w:w="0" w:type="dxa"/>
            <w:bottom w:w="0" w:type="dxa"/>
            <w:right w:w="0" w:type="dxa"/>
          </w:tblCellMar>
        </w:tblPrEx>
        <w:trPr>
          <w:trHeight w:val="37" w:hRule="atLeast"/>
          <w:jc w:val="center"/>
        </w:trPr>
        <w:tc>
          <w:tcPr>
            <w:tcW w:w="1346" w:type="dxa"/>
            <w:vMerge w:val="continue"/>
            <w:tcBorders>
              <w:top w:val="single" w:color="auto" w:sz="4" w:space="0"/>
              <w:bottom w:val="single" w:color="auto" w:sz="4" w:space="0"/>
              <w:right w:val="single" w:color="auto" w:sz="4" w:space="0"/>
            </w:tcBorders>
            <w:shd w:val="clear" w:color="auto" w:fill="FFFFFF" w:themeFill="background1"/>
            <w:vAlign w:val="center"/>
          </w:tcPr>
          <w:p>
            <w:pPr>
              <w:pStyle w:val="178"/>
              <w:jc w:val="left"/>
              <w:rPr>
                <w:rFonts w:hint="eastAsia"/>
              </w:rPr>
            </w:pPr>
          </w:p>
        </w:tc>
        <w:tc>
          <w:tcPr>
            <w:tcW w:w="1300" w:type="dxa"/>
            <w:vMerge w:val="continue"/>
            <w:tcBorders>
              <w:left w:val="single" w:color="auto" w:sz="4" w:space="0"/>
              <w:right w:val="single" w:color="auto" w:sz="4" w:space="0"/>
            </w:tcBorders>
            <w:shd w:val="clear" w:color="auto" w:fill="FEF2CC" w:themeFill="accent4" w:themeFillTint="33"/>
            <w:vAlign w:val="center"/>
          </w:tcPr>
          <w:p>
            <w:pPr>
              <w:pStyle w:val="178"/>
              <w:jc w:val="left"/>
              <w:rPr>
                <w:rFonts w:hint="eastAsia"/>
              </w:rPr>
            </w:pPr>
          </w:p>
        </w:tc>
        <w:tc>
          <w:tcPr>
            <w:tcW w:w="4660" w:type="dxa"/>
            <w:tcBorders>
              <w:top w:val="single" w:color="auto" w:sz="4" w:space="0"/>
              <w:left w:val="single" w:color="auto" w:sz="4" w:space="0"/>
              <w:bottom w:val="single" w:color="auto" w:sz="4" w:space="0"/>
            </w:tcBorders>
            <w:shd w:val="clear" w:color="auto" w:fill="FEF2CC" w:themeFill="accent4" w:themeFillTint="33"/>
            <w:vAlign w:val="center"/>
          </w:tcPr>
          <w:p>
            <w:pPr>
              <w:pStyle w:val="178"/>
              <w:jc w:val="left"/>
              <w:rPr>
                <w:rFonts w:hint="eastAsia"/>
              </w:rPr>
            </w:pPr>
            <w:r>
              <w:rPr>
                <w:rFonts w:hint="eastAsia"/>
              </w:rPr>
              <w:t>应急响应还应注意利益相关方、社会公众的利益和媒体关注</w:t>
            </w:r>
          </w:p>
        </w:tc>
        <w:tc>
          <w:tcPr>
            <w:tcW w:w="848" w:type="dxa"/>
            <w:shd w:val="clear" w:color="auto" w:fill="FEF2CC" w:themeFill="accent4" w:themeFillTint="33"/>
            <w:vAlign w:val="center"/>
          </w:tcPr>
          <w:p>
            <w:pPr>
              <w:pStyle w:val="178"/>
              <w:jc w:val="left"/>
              <w:rPr>
                <w:rFonts w:hint="eastAsia"/>
              </w:rPr>
            </w:pPr>
          </w:p>
        </w:tc>
      </w:tr>
      <w:tr>
        <w:tblPrEx>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CellMar>
            <w:top w:w="0" w:type="dxa"/>
            <w:left w:w="0" w:type="dxa"/>
            <w:bottom w:w="0" w:type="dxa"/>
            <w:right w:w="0" w:type="dxa"/>
          </w:tblCellMar>
        </w:tblPrEx>
        <w:trPr>
          <w:trHeight w:val="37" w:hRule="atLeast"/>
          <w:jc w:val="center"/>
        </w:trPr>
        <w:tc>
          <w:tcPr>
            <w:tcW w:w="1346" w:type="dxa"/>
            <w:vMerge w:val="continue"/>
            <w:tcBorders>
              <w:bottom w:val="single" w:color="auto" w:sz="4" w:space="0"/>
              <w:right w:val="single" w:color="auto" w:sz="4" w:space="0"/>
            </w:tcBorders>
            <w:shd w:val="clear" w:color="auto" w:fill="FFFFFF" w:themeFill="background1"/>
            <w:vAlign w:val="center"/>
          </w:tcPr>
          <w:p>
            <w:pPr>
              <w:pStyle w:val="178"/>
              <w:jc w:val="left"/>
              <w:rPr>
                <w:rFonts w:hint="eastAsia"/>
              </w:rPr>
            </w:pPr>
          </w:p>
        </w:tc>
        <w:tc>
          <w:tcPr>
            <w:tcW w:w="1300" w:type="dxa"/>
            <w:vMerge w:val="continue"/>
            <w:tcBorders>
              <w:left w:val="single" w:color="auto" w:sz="4" w:space="0"/>
              <w:bottom w:val="single" w:color="auto" w:sz="4" w:space="0"/>
              <w:right w:val="single" w:color="auto" w:sz="4" w:space="0"/>
            </w:tcBorders>
            <w:shd w:val="clear" w:color="auto" w:fill="FEF2CC" w:themeFill="accent4" w:themeFillTint="33"/>
            <w:vAlign w:val="center"/>
          </w:tcPr>
          <w:p>
            <w:pPr>
              <w:pStyle w:val="178"/>
              <w:jc w:val="left"/>
              <w:rPr>
                <w:rFonts w:hint="eastAsia"/>
              </w:rPr>
            </w:pPr>
          </w:p>
        </w:tc>
        <w:tc>
          <w:tcPr>
            <w:tcW w:w="4660" w:type="dxa"/>
            <w:tcBorders>
              <w:top w:val="single" w:color="auto" w:sz="4" w:space="0"/>
              <w:left w:val="single" w:color="auto" w:sz="4" w:space="0"/>
              <w:bottom w:val="single" w:color="auto" w:sz="4" w:space="0"/>
            </w:tcBorders>
            <w:shd w:val="clear" w:color="auto" w:fill="FEF2CC" w:themeFill="accent4" w:themeFillTint="33"/>
            <w:vAlign w:val="center"/>
          </w:tcPr>
          <w:p>
            <w:pPr>
              <w:pStyle w:val="178"/>
              <w:jc w:val="left"/>
              <w:rPr>
                <w:rFonts w:hint="default" w:eastAsia="宋体"/>
                <w:lang w:val="en-US" w:eastAsia="zh-CN"/>
              </w:rPr>
            </w:pPr>
            <w:r>
              <w:rPr>
                <w:rFonts w:hint="eastAsia"/>
                <w:lang w:val="en-US" w:eastAsia="zh-CN"/>
              </w:rPr>
              <w:t>经营者制定应急与相应规范时考虑到各类影响有效性的要素</w:t>
            </w:r>
          </w:p>
        </w:tc>
        <w:tc>
          <w:tcPr>
            <w:tcW w:w="848" w:type="dxa"/>
            <w:tcBorders>
              <w:bottom w:val="single" w:color="auto" w:sz="4" w:space="0"/>
            </w:tcBorders>
            <w:shd w:val="clear" w:color="auto" w:fill="FEF2CC" w:themeFill="accent4" w:themeFillTint="33"/>
            <w:vAlign w:val="center"/>
          </w:tcPr>
          <w:p>
            <w:pPr>
              <w:pStyle w:val="178"/>
              <w:jc w:val="left"/>
              <w:rPr>
                <w:rFonts w:hint="eastAsia"/>
              </w:rPr>
            </w:pPr>
          </w:p>
        </w:tc>
      </w:tr>
      <w:tr>
        <w:tblPrEx>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CellMar>
            <w:top w:w="0" w:type="dxa"/>
            <w:left w:w="0" w:type="dxa"/>
            <w:bottom w:w="0" w:type="dxa"/>
            <w:right w:w="0" w:type="dxa"/>
          </w:tblCellMar>
        </w:tblPrEx>
        <w:trPr>
          <w:trHeight w:val="56" w:hRule="atLeast"/>
          <w:jc w:val="center"/>
        </w:trPr>
        <w:tc>
          <w:tcPr>
            <w:tcW w:w="1346" w:type="dxa"/>
            <w:vMerge w:val="restart"/>
            <w:tcBorders>
              <w:top w:val="single" w:color="auto" w:sz="4" w:space="0"/>
              <w:right w:val="single" w:color="auto" w:sz="4" w:space="0"/>
            </w:tcBorders>
            <w:shd w:val="clear" w:color="auto" w:fill="FFFFFF" w:themeFill="background1"/>
            <w:vAlign w:val="center"/>
          </w:tcPr>
          <w:p>
            <w:pPr>
              <w:pStyle w:val="178"/>
              <w:rPr>
                <w:rFonts w:hint="eastAsia"/>
              </w:rPr>
            </w:pPr>
            <w:r>
              <w:rPr>
                <w:rFonts w:hint="eastAsia"/>
              </w:rPr>
              <w:t>监督与改进</w:t>
            </w:r>
          </w:p>
        </w:tc>
        <w:tc>
          <w:tcPr>
            <w:tcW w:w="1300" w:type="dxa"/>
            <w:vMerge w:val="restart"/>
            <w:tcBorders>
              <w:top w:val="single" w:color="auto" w:sz="4" w:space="0"/>
              <w:left w:val="single" w:color="auto" w:sz="4" w:space="0"/>
              <w:right w:val="single" w:color="auto" w:sz="4" w:space="0"/>
            </w:tcBorders>
            <w:shd w:val="clear" w:color="auto" w:fill="FEF2CC" w:themeFill="accent4" w:themeFillTint="33"/>
            <w:vAlign w:val="center"/>
          </w:tcPr>
          <w:p>
            <w:pPr>
              <w:pStyle w:val="178"/>
              <w:rPr>
                <w:rFonts w:hint="eastAsia"/>
              </w:rPr>
            </w:pPr>
            <w:r>
              <w:rPr>
                <w:rFonts w:hint="eastAsia" w:hAnsi="宋体"/>
              </w:rPr>
              <w:t>监督机制</w:t>
            </w:r>
          </w:p>
        </w:tc>
        <w:tc>
          <w:tcPr>
            <w:tcW w:w="4660" w:type="dxa"/>
            <w:tcBorders>
              <w:top w:val="single" w:color="auto" w:sz="4" w:space="0"/>
              <w:left w:val="single" w:color="auto" w:sz="4" w:space="0"/>
              <w:bottom w:val="single" w:color="auto" w:sz="4" w:space="0"/>
            </w:tcBorders>
            <w:shd w:val="clear" w:color="auto" w:fill="FEF2CC" w:themeFill="accent4" w:themeFillTint="33"/>
            <w:vAlign w:val="center"/>
          </w:tcPr>
          <w:p>
            <w:pPr>
              <w:pStyle w:val="178"/>
              <w:jc w:val="left"/>
              <w:rPr>
                <w:rFonts w:hint="eastAsia"/>
              </w:rPr>
            </w:pPr>
            <w:r>
              <w:rPr>
                <w:rFonts w:hint="eastAsia"/>
                <w:lang w:val="en-US" w:eastAsia="zh-CN"/>
              </w:rPr>
              <w:t>反垄断合规管理需要进行监督，将评价反垄断合规管理绩效、运行控制、目标符合情况等信息形成文件</w:t>
            </w:r>
          </w:p>
        </w:tc>
        <w:tc>
          <w:tcPr>
            <w:tcW w:w="848" w:type="dxa"/>
            <w:tcBorders>
              <w:top w:val="single" w:color="auto" w:sz="4" w:space="0"/>
            </w:tcBorders>
            <w:shd w:val="clear" w:color="auto" w:fill="FEF2CC" w:themeFill="accent4" w:themeFillTint="33"/>
            <w:vAlign w:val="center"/>
          </w:tcPr>
          <w:p>
            <w:pPr>
              <w:pStyle w:val="178"/>
              <w:rPr>
                <w:rFonts w:hint="eastAsia"/>
              </w:rPr>
            </w:pPr>
          </w:p>
        </w:tc>
      </w:tr>
      <w:tr>
        <w:tblPrEx>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CellMar>
            <w:top w:w="0" w:type="dxa"/>
            <w:left w:w="0" w:type="dxa"/>
            <w:bottom w:w="0" w:type="dxa"/>
            <w:right w:w="0" w:type="dxa"/>
          </w:tblCellMar>
        </w:tblPrEx>
        <w:trPr>
          <w:trHeight w:val="56" w:hRule="atLeast"/>
          <w:jc w:val="center"/>
        </w:trPr>
        <w:tc>
          <w:tcPr>
            <w:tcW w:w="1346" w:type="dxa"/>
            <w:vMerge w:val="continue"/>
            <w:tcBorders>
              <w:right w:val="single" w:color="auto" w:sz="4" w:space="0"/>
            </w:tcBorders>
            <w:shd w:val="clear" w:color="auto" w:fill="FFFFFF" w:themeFill="background1"/>
            <w:vAlign w:val="center"/>
          </w:tcPr>
          <w:p>
            <w:pPr>
              <w:pStyle w:val="178"/>
              <w:jc w:val="left"/>
            </w:pPr>
          </w:p>
        </w:tc>
        <w:tc>
          <w:tcPr>
            <w:tcW w:w="1300" w:type="dxa"/>
            <w:vMerge w:val="continue"/>
            <w:tcBorders>
              <w:left w:val="single" w:color="auto" w:sz="4" w:space="0"/>
              <w:right w:val="single" w:color="auto" w:sz="4" w:space="0"/>
            </w:tcBorders>
            <w:shd w:val="clear" w:color="auto" w:fill="FEF2CC" w:themeFill="accent4" w:themeFillTint="33"/>
            <w:vAlign w:val="center"/>
          </w:tcPr>
          <w:p>
            <w:pPr>
              <w:pStyle w:val="178"/>
              <w:jc w:val="left"/>
            </w:pPr>
          </w:p>
        </w:tc>
        <w:tc>
          <w:tcPr>
            <w:tcW w:w="4660" w:type="dxa"/>
            <w:tcBorders>
              <w:top w:val="single" w:color="auto" w:sz="4" w:space="0"/>
              <w:left w:val="single" w:color="auto" w:sz="4" w:space="0"/>
              <w:bottom w:val="single" w:color="auto" w:sz="4" w:space="0"/>
            </w:tcBorders>
            <w:shd w:val="clear" w:color="auto" w:fill="FEF2CC" w:themeFill="accent4" w:themeFillTint="33"/>
            <w:vAlign w:val="center"/>
          </w:tcPr>
          <w:p>
            <w:pPr>
              <w:pStyle w:val="178"/>
              <w:jc w:val="left"/>
              <w:rPr>
                <w:rFonts w:hint="eastAsia"/>
              </w:rPr>
            </w:pPr>
            <w:r>
              <w:rPr>
                <w:rFonts w:hint="eastAsia"/>
                <w:lang w:val="en-US" w:eastAsia="zh-CN"/>
              </w:rPr>
              <w:t>决策者或最高管理者可以授权总法律顾问或合规官实施监督，或委托第三方专业机构实施</w:t>
            </w:r>
          </w:p>
        </w:tc>
        <w:tc>
          <w:tcPr>
            <w:tcW w:w="848" w:type="dxa"/>
            <w:shd w:val="clear" w:color="auto" w:fill="FEF2CC" w:themeFill="accent4" w:themeFillTint="33"/>
            <w:vAlign w:val="center"/>
          </w:tcPr>
          <w:p>
            <w:pPr>
              <w:pStyle w:val="178"/>
              <w:jc w:val="left"/>
              <w:rPr>
                <w:rFonts w:hint="eastAsia"/>
              </w:rPr>
            </w:pPr>
          </w:p>
        </w:tc>
      </w:tr>
      <w:tr>
        <w:tblPrEx>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CellMar>
            <w:top w:w="0" w:type="dxa"/>
            <w:left w:w="0" w:type="dxa"/>
            <w:bottom w:w="0" w:type="dxa"/>
            <w:right w:w="0" w:type="dxa"/>
          </w:tblCellMar>
        </w:tblPrEx>
        <w:trPr>
          <w:trHeight w:val="56" w:hRule="atLeast"/>
          <w:jc w:val="center"/>
        </w:trPr>
        <w:tc>
          <w:tcPr>
            <w:tcW w:w="1346" w:type="dxa"/>
            <w:vMerge w:val="continue"/>
            <w:tcBorders>
              <w:right w:val="single" w:color="auto" w:sz="4" w:space="0"/>
            </w:tcBorders>
            <w:shd w:val="clear" w:color="auto" w:fill="FFFFFF" w:themeFill="background1"/>
            <w:vAlign w:val="center"/>
          </w:tcPr>
          <w:p>
            <w:pPr>
              <w:pStyle w:val="178"/>
              <w:jc w:val="left"/>
              <w:rPr>
                <w:rFonts w:hint="eastAsia"/>
              </w:rPr>
            </w:pPr>
          </w:p>
        </w:tc>
        <w:tc>
          <w:tcPr>
            <w:tcW w:w="1300" w:type="dxa"/>
            <w:vMerge w:val="continue"/>
            <w:tcBorders>
              <w:left w:val="single" w:color="auto" w:sz="4" w:space="0"/>
              <w:right w:val="single" w:color="auto" w:sz="4" w:space="0"/>
            </w:tcBorders>
            <w:shd w:val="clear" w:color="auto" w:fill="FEF2CC" w:themeFill="accent4" w:themeFillTint="33"/>
            <w:vAlign w:val="center"/>
          </w:tcPr>
          <w:p>
            <w:pPr>
              <w:pStyle w:val="178"/>
              <w:jc w:val="left"/>
              <w:rPr>
                <w:rFonts w:hint="eastAsia"/>
              </w:rPr>
            </w:pPr>
          </w:p>
        </w:tc>
        <w:tc>
          <w:tcPr>
            <w:tcW w:w="4660" w:type="dxa"/>
            <w:tcBorders>
              <w:top w:val="single" w:color="auto" w:sz="4" w:space="0"/>
              <w:left w:val="single" w:color="auto" w:sz="4" w:space="0"/>
              <w:bottom w:val="single" w:color="auto" w:sz="4" w:space="0"/>
            </w:tcBorders>
            <w:shd w:val="clear" w:color="auto" w:fill="FEF2CC" w:themeFill="accent4" w:themeFillTint="33"/>
            <w:vAlign w:val="center"/>
          </w:tcPr>
          <w:p>
            <w:pPr>
              <w:pStyle w:val="178"/>
              <w:jc w:val="left"/>
              <w:rPr>
                <w:rFonts w:hint="eastAsia"/>
              </w:rPr>
            </w:pPr>
            <w:r>
              <w:rPr>
                <w:rFonts w:hint="eastAsia"/>
              </w:rPr>
              <w:t>监督可分为常态化监督、阶段性监督和特殊目的监督。监督应有记录。监督应关注行业典型案例及其评析，反垄断执法机构发布的反垄断合规风险提示</w:t>
            </w:r>
          </w:p>
        </w:tc>
        <w:tc>
          <w:tcPr>
            <w:tcW w:w="848" w:type="dxa"/>
            <w:shd w:val="clear" w:color="auto" w:fill="FEF2CC" w:themeFill="accent4" w:themeFillTint="33"/>
            <w:vAlign w:val="center"/>
          </w:tcPr>
          <w:p>
            <w:pPr>
              <w:pStyle w:val="178"/>
              <w:jc w:val="left"/>
              <w:rPr>
                <w:rFonts w:hint="eastAsia"/>
              </w:rPr>
            </w:pPr>
          </w:p>
        </w:tc>
      </w:tr>
      <w:tr>
        <w:tblPrEx>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CellMar>
            <w:top w:w="0" w:type="dxa"/>
            <w:left w:w="0" w:type="dxa"/>
            <w:bottom w:w="0" w:type="dxa"/>
            <w:right w:w="0" w:type="dxa"/>
          </w:tblCellMar>
        </w:tblPrEx>
        <w:trPr>
          <w:trHeight w:val="56" w:hRule="atLeast"/>
          <w:jc w:val="center"/>
        </w:trPr>
        <w:tc>
          <w:tcPr>
            <w:tcW w:w="1346" w:type="dxa"/>
            <w:vMerge w:val="continue"/>
            <w:tcBorders>
              <w:bottom w:val="single" w:color="auto" w:sz="4" w:space="0"/>
              <w:right w:val="single" w:color="auto" w:sz="4" w:space="0"/>
            </w:tcBorders>
            <w:shd w:val="clear" w:color="auto" w:fill="FFFFFF" w:themeFill="background1"/>
            <w:vAlign w:val="center"/>
          </w:tcPr>
          <w:p>
            <w:pPr>
              <w:pStyle w:val="178"/>
              <w:jc w:val="left"/>
              <w:rPr>
                <w:rFonts w:hint="eastAsia"/>
              </w:rPr>
            </w:pPr>
          </w:p>
        </w:tc>
        <w:tc>
          <w:tcPr>
            <w:tcW w:w="1300" w:type="dxa"/>
            <w:vMerge w:val="continue"/>
            <w:tcBorders>
              <w:left w:val="single" w:color="auto" w:sz="4" w:space="0"/>
              <w:bottom w:val="single" w:color="auto" w:sz="4" w:space="0"/>
              <w:right w:val="single" w:color="auto" w:sz="4" w:space="0"/>
            </w:tcBorders>
            <w:shd w:val="clear" w:color="auto" w:fill="FEF2CC" w:themeFill="accent4" w:themeFillTint="33"/>
            <w:vAlign w:val="center"/>
          </w:tcPr>
          <w:p>
            <w:pPr>
              <w:pStyle w:val="178"/>
              <w:jc w:val="left"/>
              <w:rPr>
                <w:rFonts w:hint="eastAsia"/>
              </w:rPr>
            </w:pPr>
          </w:p>
        </w:tc>
        <w:tc>
          <w:tcPr>
            <w:tcW w:w="4660" w:type="dxa"/>
            <w:tcBorders>
              <w:top w:val="single" w:color="auto" w:sz="4" w:space="0"/>
              <w:left w:val="single" w:color="auto" w:sz="4" w:space="0"/>
              <w:bottom w:val="single" w:color="auto" w:sz="4" w:space="0"/>
            </w:tcBorders>
            <w:shd w:val="clear" w:color="auto" w:fill="FEF2CC" w:themeFill="accent4" w:themeFillTint="33"/>
            <w:vAlign w:val="center"/>
          </w:tcPr>
          <w:p>
            <w:pPr>
              <w:pStyle w:val="178"/>
              <w:jc w:val="left"/>
              <w:rPr>
                <w:rFonts w:hint="eastAsia"/>
              </w:rPr>
            </w:pPr>
            <w:r>
              <w:rPr>
                <w:rFonts w:hint="eastAsia"/>
              </w:rPr>
              <w:t>经营者应为内部员工和相关方的举报、投诉设置便利条件；可以设置奖励措施予以鼓励；采取必要措施，确保相关信息不被泄露</w:t>
            </w:r>
          </w:p>
        </w:tc>
        <w:tc>
          <w:tcPr>
            <w:tcW w:w="848" w:type="dxa"/>
            <w:tcBorders>
              <w:bottom w:val="single" w:color="auto" w:sz="4" w:space="0"/>
            </w:tcBorders>
            <w:shd w:val="clear" w:color="auto" w:fill="FEF2CC" w:themeFill="accent4" w:themeFillTint="33"/>
            <w:vAlign w:val="center"/>
          </w:tcPr>
          <w:p>
            <w:pPr>
              <w:pStyle w:val="178"/>
              <w:jc w:val="left"/>
              <w:rPr>
                <w:rFonts w:hint="eastAsia"/>
              </w:rPr>
            </w:pPr>
          </w:p>
        </w:tc>
      </w:tr>
      <w:tr>
        <w:tblPrEx>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CellMar>
            <w:top w:w="0" w:type="dxa"/>
            <w:left w:w="0" w:type="dxa"/>
            <w:bottom w:w="0" w:type="dxa"/>
            <w:right w:w="0" w:type="dxa"/>
          </w:tblCellMar>
        </w:tblPrEx>
        <w:trPr>
          <w:trHeight w:val="74" w:hRule="atLeast"/>
          <w:jc w:val="center"/>
        </w:trPr>
        <w:tc>
          <w:tcPr>
            <w:tcW w:w="1346" w:type="dxa"/>
            <w:vMerge w:val="continue"/>
            <w:tcBorders>
              <w:top w:val="single" w:color="auto" w:sz="4" w:space="0"/>
              <w:bottom w:val="single" w:color="auto" w:sz="4" w:space="0"/>
              <w:right w:val="single" w:color="auto" w:sz="4" w:space="0"/>
            </w:tcBorders>
            <w:shd w:val="clear" w:color="auto" w:fill="FFFFFF" w:themeFill="background1"/>
            <w:vAlign w:val="center"/>
          </w:tcPr>
          <w:p>
            <w:pPr>
              <w:pStyle w:val="178"/>
              <w:rPr>
                <w:rFonts w:hint="eastAsia"/>
              </w:rPr>
            </w:pPr>
          </w:p>
        </w:tc>
        <w:tc>
          <w:tcPr>
            <w:tcW w:w="1300" w:type="dxa"/>
            <w:vMerge w:val="restart"/>
            <w:tcBorders>
              <w:top w:val="single" w:color="auto" w:sz="4" w:space="0"/>
              <w:left w:val="single" w:color="auto" w:sz="4" w:space="0"/>
              <w:right w:val="single" w:color="auto" w:sz="4" w:space="0"/>
            </w:tcBorders>
            <w:shd w:val="clear" w:color="auto" w:fill="FEF2CC" w:themeFill="accent4" w:themeFillTint="33"/>
            <w:vAlign w:val="center"/>
          </w:tcPr>
          <w:p>
            <w:pPr>
              <w:pStyle w:val="178"/>
              <w:rPr>
                <w:rFonts w:hint="eastAsia"/>
              </w:rPr>
            </w:pPr>
            <w:r>
              <w:rPr>
                <w:rFonts w:hint="eastAsia" w:hAnsi="宋体"/>
              </w:rPr>
              <w:t>评价机制</w:t>
            </w:r>
          </w:p>
        </w:tc>
        <w:tc>
          <w:tcPr>
            <w:tcW w:w="4660" w:type="dxa"/>
            <w:tcBorders>
              <w:top w:val="single" w:color="auto" w:sz="4" w:space="0"/>
              <w:left w:val="single" w:color="auto" w:sz="4" w:space="0"/>
              <w:bottom w:val="single" w:color="auto" w:sz="4" w:space="0"/>
            </w:tcBorders>
            <w:shd w:val="clear" w:color="auto" w:fill="FEF2CC" w:themeFill="accent4" w:themeFillTint="33"/>
            <w:vAlign w:val="center"/>
          </w:tcPr>
          <w:p>
            <w:pPr>
              <w:pStyle w:val="178"/>
              <w:jc w:val="left"/>
              <w:rPr>
                <w:rFonts w:hint="eastAsia"/>
              </w:rPr>
            </w:pPr>
            <w:r>
              <w:rPr>
                <w:rFonts w:hint="eastAsia"/>
                <w:lang w:val="en-US" w:eastAsia="zh-CN"/>
              </w:rPr>
              <w:t>经营者宜定期对反垄断合规管理活动及其绩效进行检查与评价。竞争合规经营管理情况纳入相关部门和负责人年度综合考核内容，员工竞争合规履职情况可作为相关岗位员工考核、晋升任用、评先选优的重要依据</w:t>
            </w:r>
          </w:p>
        </w:tc>
        <w:tc>
          <w:tcPr>
            <w:tcW w:w="848" w:type="dxa"/>
            <w:tcBorders>
              <w:top w:val="single" w:color="auto" w:sz="4" w:space="0"/>
            </w:tcBorders>
            <w:shd w:val="clear" w:color="auto" w:fill="FEF2CC" w:themeFill="accent4" w:themeFillTint="33"/>
            <w:vAlign w:val="center"/>
          </w:tcPr>
          <w:p>
            <w:pPr>
              <w:pStyle w:val="178"/>
              <w:rPr>
                <w:rFonts w:hint="eastAsia"/>
              </w:rPr>
            </w:pPr>
          </w:p>
        </w:tc>
      </w:tr>
      <w:tr>
        <w:tblPrEx>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CellMar>
            <w:top w:w="0" w:type="dxa"/>
            <w:left w:w="0" w:type="dxa"/>
            <w:bottom w:w="0" w:type="dxa"/>
            <w:right w:w="0" w:type="dxa"/>
          </w:tblCellMar>
        </w:tblPrEx>
        <w:trPr>
          <w:trHeight w:val="74" w:hRule="atLeast"/>
          <w:jc w:val="center"/>
        </w:trPr>
        <w:tc>
          <w:tcPr>
            <w:tcW w:w="1346" w:type="dxa"/>
            <w:vMerge w:val="continue"/>
            <w:tcBorders>
              <w:top w:val="single" w:color="auto" w:sz="4" w:space="0"/>
              <w:bottom w:val="single" w:color="auto" w:sz="4" w:space="0"/>
              <w:right w:val="single" w:color="auto" w:sz="4" w:space="0"/>
            </w:tcBorders>
            <w:shd w:val="clear" w:color="auto" w:fill="FFFFFF" w:themeFill="background1"/>
            <w:vAlign w:val="center"/>
          </w:tcPr>
          <w:p>
            <w:pPr>
              <w:pStyle w:val="178"/>
              <w:jc w:val="left"/>
            </w:pPr>
          </w:p>
        </w:tc>
        <w:tc>
          <w:tcPr>
            <w:tcW w:w="1300" w:type="dxa"/>
            <w:vMerge w:val="continue"/>
            <w:tcBorders>
              <w:left w:val="single" w:color="auto" w:sz="4" w:space="0"/>
              <w:right w:val="single" w:color="auto" w:sz="4" w:space="0"/>
            </w:tcBorders>
            <w:shd w:val="clear" w:color="auto" w:fill="FEF2CC" w:themeFill="accent4" w:themeFillTint="33"/>
            <w:vAlign w:val="center"/>
          </w:tcPr>
          <w:p>
            <w:pPr>
              <w:pStyle w:val="178"/>
              <w:jc w:val="left"/>
            </w:pPr>
          </w:p>
        </w:tc>
        <w:tc>
          <w:tcPr>
            <w:tcW w:w="4660" w:type="dxa"/>
            <w:tcBorders>
              <w:top w:val="single" w:color="auto" w:sz="4" w:space="0"/>
              <w:left w:val="single" w:color="auto" w:sz="4" w:space="0"/>
              <w:bottom w:val="single" w:color="auto" w:sz="4" w:space="0"/>
            </w:tcBorders>
            <w:shd w:val="clear" w:color="auto" w:fill="FEF2CC" w:themeFill="accent4" w:themeFillTint="33"/>
            <w:vAlign w:val="center"/>
          </w:tcPr>
          <w:p>
            <w:pPr>
              <w:pStyle w:val="178"/>
              <w:jc w:val="left"/>
              <w:rPr>
                <w:rFonts w:hint="eastAsia"/>
              </w:rPr>
            </w:pPr>
            <w:r>
              <w:rPr>
                <w:rFonts w:hint="eastAsia"/>
                <w:lang w:val="en-US" w:eastAsia="zh-CN"/>
              </w:rPr>
              <w:t>反垄断合规评价可由合规管理部门组织开展，也可以委托第三方专业机构实施。检查与评价过程应确保客观公正，检查与评价的频率应与反垄断合规管理现实成熟度相匹配</w:t>
            </w:r>
          </w:p>
        </w:tc>
        <w:tc>
          <w:tcPr>
            <w:tcW w:w="848" w:type="dxa"/>
            <w:shd w:val="clear" w:color="auto" w:fill="FEF2CC" w:themeFill="accent4" w:themeFillTint="33"/>
            <w:vAlign w:val="center"/>
          </w:tcPr>
          <w:p>
            <w:pPr>
              <w:pStyle w:val="178"/>
              <w:jc w:val="left"/>
              <w:rPr>
                <w:rFonts w:hint="eastAsia"/>
              </w:rPr>
            </w:pPr>
          </w:p>
        </w:tc>
      </w:tr>
      <w:tr>
        <w:tblPrEx>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CellMar>
            <w:top w:w="0" w:type="dxa"/>
            <w:left w:w="0" w:type="dxa"/>
            <w:bottom w:w="0" w:type="dxa"/>
            <w:right w:w="0" w:type="dxa"/>
          </w:tblCellMar>
        </w:tblPrEx>
        <w:trPr>
          <w:trHeight w:val="34" w:hRule="atLeast"/>
          <w:jc w:val="center"/>
        </w:trPr>
        <w:tc>
          <w:tcPr>
            <w:tcW w:w="1346" w:type="dxa"/>
            <w:vMerge w:val="continue"/>
            <w:tcBorders>
              <w:top w:val="single" w:color="auto" w:sz="4" w:space="0"/>
              <w:bottom w:val="single" w:color="auto" w:sz="4" w:space="0"/>
              <w:right w:val="single" w:color="auto" w:sz="4" w:space="0"/>
            </w:tcBorders>
            <w:shd w:val="clear" w:color="auto" w:fill="FFFFFF" w:themeFill="background1"/>
            <w:vAlign w:val="center"/>
          </w:tcPr>
          <w:p>
            <w:pPr>
              <w:pStyle w:val="178"/>
              <w:rPr>
                <w:rFonts w:hint="eastAsia"/>
              </w:rPr>
            </w:pPr>
          </w:p>
        </w:tc>
        <w:tc>
          <w:tcPr>
            <w:tcW w:w="1300" w:type="dxa"/>
            <w:vMerge w:val="restart"/>
            <w:tcBorders>
              <w:top w:val="single" w:color="auto" w:sz="4" w:space="0"/>
              <w:left w:val="single" w:color="auto" w:sz="4" w:space="0"/>
              <w:right w:val="single" w:color="auto" w:sz="4" w:space="0"/>
            </w:tcBorders>
            <w:shd w:val="clear" w:color="auto" w:fill="FEF2CC" w:themeFill="accent4" w:themeFillTint="33"/>
            <w:vAlign w:val="center"/>
          </w:tcPr>
          <w:p>
            <w:pPr>
              <w:pStyle w:val="178"/>
              <w:rPr>
                <w:rFonts w:hint="eastAsia"/>
              </w:rPr>
            </w:pPr>
            <w:r>
              <w:rPr>
                <w:rFonts w:hint="eastAsia" w:hAnsi="宋体"/>
              </w:rPr>
              <w:t>改进与优化</w:t>
            </w:r>
          </w:p>
        </w:tc>
        <w:tc>
          <w:tcPr>
            <w:tcW w:w="4660" w:type="dxa"/>
            <w:tcBorders>
              <w:top w:val="single" w:color="auto" w:sz="4" w:space="0"/>
              <w:left w:val="single" w:color="auto" w:sz="4" w:space="0"/>
              <w:bottom w:val="single" w:color="auto" w:sz="8" w:space="0"/>
            </w:tcBorders>
            <w:shd w:val="clear" w:color="auto" w:fill="FEF2CC" w:themeFill="accent4" w:themeFillTint="33"/>
            <w:vAlign w:val="center"/>
          </w:tcPr>
          <w:p>
            <w:pPr>
              <w:pStyle w:val="178"/>
              <w:jc w:val="left"/>
              <w:rPr>
                <w:rFonts w:hint="eastAsia"/>
              </w:rPr>
            </w:pPr>
            <w:r>
              <w:rPr>
                <w:rFonts w:hint="eastAsia"/>
                <w:lang w:val="en-US" w:eastAsia="zh-CN"/>
              </w:rPr>
              <w:t>识别不合规行为，承诺采取措施</w:t>
            </w:r>
          </w:p>
        </w:tc>
        <w:tc>
          <w:tcPr>
            <w:tcW w:w="848" w:type="dxa"/>
            <w:tcBorders>
              <w:top w:val="single" w:color="auto" w:sz="4" w:space="0"/>
            </w:tcBorders>
            <w:shd w:val="clear" w:color="auto" w:fill="FEF2CC" w:themeFill="accent4" w:themeFillTint="33"/>
            <w:vAlign w:val="center"/>
          </w:tcPr>
          <w:p>
            <w:pPr>
              <w:pStyle w:val="178"/>
              <w:rPr>
                <w:rFonts w:hint="eastAsia"/>
              </w:rPr>
            </w:pPr>
          </w:p>
        </w:tc>
      </w:tr>
      <w:tr>
        <w:tblPrEx>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CellMar>
            <w:top w:w="0" w:type="dxa"/>
            <w:left w:w="0" w:type="dxa"/>
            <w:bottom w:w="0" w:type="dxa"/>
            <w:right w:w="0" w:type="dxa"/>
          </w:tblCellMar>
        </w:tblPrEx>
        <w:trPr>
          <w:trHeight w:val="34" w:hRule="atLeast"/>
          <w:jc w:val="center"/>
        </w:trPr>
        <w:tc>
          <w:tcPr>
            <w:tcW w:w="1346" w:type="dxa"/>
            <w:vMerge w:val="continue"/>
            <w:tcBorders>
              <w:top w:val="single" w:color="auto" w:sz="4" w:space="0"/>
              <w:bottom w:val="single" w:color="auto" w:sz="4" w:space="0"/>
              <w:right w:val="single" w:color="auto" w:sz="4" w:space="0"/>
            </w:tcBorders>
            <w:shd w:val="clear" w:color="auto" w:fill="FFFFFF" w:themeFill="background1"/>
            <w:vAlign w:val="center"/>
          </w:tcPr>
          <w:p>
            <w:pPr>
              <w:pStyle w:val="178"/>
              <w:jc w:val="left"/>
            </w:pPr>
          </w:p>
        </w:tc>
        <w:tc>
          <w:tcPr>
            <w:tcW w:w="1300" w:type="dxa"/>
            <w:vMerge w:val="continue"/>
            <w:tcBorders>
              <w:left w:val="single" w:color="auto" w:sz="4" w:space="0"/>
              <w:right w:val="single" w:color="auto" w:sz="4" w:space="0"/>
            </w:tcBorders>
            <w:shd w:val="clear" w:color="auto" w:fill="FEF2CC" w:themeFill="accent4" w:themeFillTint="33"/>
            <w:vAlign w:val="center"/>
          </w:tcPr>
          <w:p>
            <w:pPr>
              <w:pStyle w:val="178"/>
              <w:jc w:val="left"/>
            </w:pPr>
          </w:p>
        </w:tc>
        <w:tc>
          <w:tcPr>
            <w:tcW w:w="4660" w:type="dxa"/>
            <w:tcBorders>
              <w:top w:val="single" w:color="auto" w:sz="4" w:space="0"/>
              <w:left w:val="single" w:color="auto" w:sz="4" w:space="0"/>
              <w:bottom w:val="single" w:color="auto" w:sz="8" w:space="0"/>
            </w:tcBorders>
            <w:shd w:val="clear" w:color="auto" w:fill="FEF2CC" w:themeFill="accent4" w:themeFillTint="33"/>
            <w:vAlign w:val="center"/>
          </w:tcPr>
          <w:p>
            <w:pPr>
              <w:pStyle w:val="178"/>
              <w:jc w:val="left"/>
              <w:rPr>
                <w:rFonts w:hint="eastAsia"/>
              </w:rPr>
            </w:pPr>
            <w:r>
              <w:rPr>
                <w:rFonts w:hint="eastAsia"/>
                <w:lang w:val="en-US" w:eastAsia="zh-CN"/>
              </w:rPr>
              <w:t>调查不合规行为，分析原因，制定反垄断合规整改方案</w:t>
            </w:r>
          </w:p>
        </w:tc>
        <w:tc>
          <w:tcPr>
            <w:tcW w:w="848" w:type="dxa"/>
            <w:shd w:val="clear" w:color="auto" w:fill="FEF2CC" w:themeFill="accent4" w:themeFillTint="33"/>
            <w:vAlign w:val="center"/>
          </w:tcPr>
          <w:p>
            <w:pPr>
              <w:pStyle w:val="178"/>
              <w:jc w:val="left"/>
              <w:rPr>
                <w:rFonts w:hint="eastAsia"/>
              </w:rPr>
            </w:pPr>
          </w:p>
        </w:tc>
      </w:tr>
      <w:tr>
        <w:tblPrEx>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CellMar>
            <w:top w:w="0" w:type="dxa"/>
            <w:left w:w="0" w:type="dxa"/>
            <w:bottom w:w="0" w:type="dxa"/>
            <w:right w:w="0" w:type="dxa"/>
          </w:tblCellMar>
        </w:tblPrEx>
        <w:trPr>
          <w:trHeight w:val="34" w:hRule="atLeast"/>
          <w:jc w:val="center"/>
        </w:trPr>
        <w:tc>
          <w:tcPr>
            <w:tcW w:w="1346" w:type="dxa"/>
            <w:vMerge w:val="continue"/>
            <w:tcBorders>
              <w:top w:val="single" w:color="auto" w:sz="4" w:space="0"/>
              <w:bottom w:val="single" w:color="auto" w:sz="4" w:space="0"/>
              <w:right w:val="single" w:color="auto" w:sz="4" w:space="0"/>
            </w:tcBorders>
            <w:shd w:val="clear" w:color="auto" w:fill="FFFFFF" w:themeFill="background1"/>
            <w:vAlign w:val="center"/>
          </w:tcPr>
          <w:p>
            <w:pPr>
              <w:pStyle w:val="178"/>
              <w:jc w:val="left"/>
              <w:rPr>
                <w:rFonts w:hint="eastAsia"/>
              </w:rPr>
            </w:pPr>
          </w:p>
        </w:tc>
        <w:tc>
          <w:tcPr>
            <w:tcW w:w="1300" w:type="dxa"/>
            <w:vMerge w:val="continue"/>
            <w:tcBorders>
              <w:left w:val="single" w:color="auto" w:sz="4" w:space="0"/>
              <w:right w:val="single" w:color="auto" w:sz="4" w:space="0"/>
            </w:tcBorders>
            <w:shd w:val="clear" w:color="auto" w:fill="FEF2CC" w:themeFill="accent4" w:themeFillTint="33"/>
            <w:vAlign w:val="center"/>
          </w:tcPr>
          <w:p>
            <w:pPr>
              <w:pStyle w:val="178"/>
              <w:jc w:val="left"/>
              <w:rPr>
                <w:rFonts w:hint="eastAsia"/>
              </w:rPr>
            </w:pPr>
          </w:p>
        </w:tc>
        <w:tc>
          <w:tcPr>
            <w:tcW w:w="4660" w:type="dxa"/>
            <w:tcBorders>
              <w:top w:val="single" w:color="auto" w:sz="4" w:space="0"/>
              <w:left w:val="single" w:color="auto" w:sz="4" w:space="0"/>
              <w:bottom w:val="single" w:color="auto" w:sz="8" w:space="0"/>
            </w:tcBorders>
            <w:shd w:val="clear" w:color="auto" w:fill="FEF2CC" w:themeFill="accent4" w:themeFillTint="33"/>
            <w:vAlign w:val="center"/>
          </w:tcPr>
          <w:p>
            <w:pPr>
              <w:pStyle w:val="178"/>
              <w:jc w:val="left"/>
              <w:rPr>
                <w:rFonts w:hint="eastAsia"/>
              </w:rPr>
            </w:pPr>
            <w:r>
              <w:rPr>
                <w:rFonts w:hint="eastAsia"/>
                <w:lang w:val="en-US" w:eastAsia="zh-CN"/>
              </w:rPr>
              <w:t>评价方案是否切实可行，是否与存在的问题以及反垄断合规管理风险所影响的严重程度相匹配</w:t>
            </w:r>
          </w:p>
        </w:tc>
        <w:tc>
          <w:tcPr>
            <w:tcW w:w="848" w:type="dxa"/>
            <w:shd w:val="clear" w:color="auto" w:fill="FEF2CC" w:themeFill="accent4" w:themeFillTint="33"/>
            <w:vAlign w:val="center"/>
          </w:tcPr>
          <w:p>
            <w:pPr>
              <w:pStyle w:val="178"/>
              <w:jc w:val="left"/>
              <w:rPr>
                <w:rFonts w:hint="eastAsia"/>
              </w:rPr>
            </w:pPr>
          </w:p>
        </w:tc>
      </w:tr>
      <w:tr>
        <w:tblPrEx>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CellMar>
            <w:top w:w="0" w:type="dxa"/>
            <w:left w:w="0" w:type="dxa"/>
            <w:bottom w:w="0" w:type="dxa"/>
            <w:right w:w="0" w:type="dxa"/>
          </w:tblCellMar>
        </w:tblPrEx>
        <w:trPr>
          <w:trHeight w:val="34" w:hRule="atLeast"/>
          <w:jc w:val="center"/>
        </w:trPr>
        <w:tc>
          <w:tcPr>
            <w:tcW w:w="1346" w:type="dxa"/>
            <w:vMerge w:val="continue"/>
            <w:tcBorders>
              <w:top w:val="single" w:color="auto" w:sz="4" w:space="0"/>
              <w:bottom w:val="single" w:color="auto" w:sz="4" w:space="0"/>
              <w:right w:val="single" w:color="auto" w:sz="4" w:space="0"/>
            </w:tcBorders>
            <w:shd w:val="clear" w:color="auto" w:fill="FFFFFF" w:themeFill="background1"/>
            <w:vAlign w:val="center"/>
          </w:tcPr>
          <w:p>
            <w:pPr>
              <w:pStyle w:val="178"/>
              <w:jc w:val="left"/>
              <w:rPr>
                <w:rFonts w:hint="eastAsia"/>
              </w:rPr>
            </w:pPr>
          </w:p>
        </w:tc>
        <w:tc>
          <w:tcPr>
            <w:tcW w:w="1300" w:type="dxa"/>
            <w:vMerge w:val="continue"/>
            <w:tcBorders>
              <w:left w:val="single" w:color="auto" w:sz="4" w:space="0"/>
              <w:right w:val="single" w:color="auto" w:sz="4" w:space="0"/>
            </w:tcBorders>
            <w:shd w:val="clear" w:color="auto" w:fill="FEF2CC" w:themeFill="accent4" w:themeFillTint="33"/>
            <w:vAlign w:val="center"/>
          </w:tcPr>
          <w:p>
            <w:pPr>
              <w:pStyle w:val="178"/>
              <w:jc w:val="left"/>
              <w:rPr>
                <w:rFonts w:hint="eastAsia"/>
              </w:rPr>
            </w:pPr>
          </w:p>
        </w:tc>
        <w:tc>
          <w:tcPr>
            <w:tcW w:w="4660" w:type="dxa"/>
            <w:tcBorders>
              <w:top w:val="single" w:color="auto" w:sz="4" w:space="0"/>
              <w:left w:val="single" w:color="auto" w:sz="4" w:space="0"/>
              <w:bottom w:val="single" w:color="auto" w:sz="8" w:space="0"/>
            </w:tcBorders>
            <w:shd w:val="clear" w:color="auto" w:fill="FEF2CC" w:themeFill="accent4" w:themeFillTint="33"/>
            <w:vAlign w:val="center"/>
          </w:tcPr>
          <w:p>
            <w:pPr>
              <w:pStyle w:val="178"/>
              <w:jc w:val="left"/>
              <w:rPr>
                <w:rFonts w:hint="default"/>
                <w:lang w:val="en-US"/>
              </w:rPr>
            </w:pPr>
            <w:r>
              <w:rPr>
                <w:rFonts w:hint="eastAsia"/>
                <w:lang w:val="en-US" w:eastAsia="zh-CN"/>
              </w:rPr>
              <w:t>实施制定的方案和措施，预防、避免垄断行为发生风险</w:t>
            </w:r>
          </w:p>
        </w:tc>
        <w:tc>
          <w:tcPr>
            <w:tcW w:w="848" w:type="dxa"/>
            <w:shd w:val="clear" w:color="auto" w:fill="FEF2CC" w:themeFill="accent4" w:themeFillTint="33"/>
            <w:vAlign w:val="center"/>
          </w:tcPr>
          <w:p>
            <w:pPr>
              <w:pStyle w:val="178"/>
              <w:jc w:val="left"/>
              <w:rPr>
                <w:rFonts w:hint="eastAsia"/>
              </w:rPr>
            </w:pPr>
          </w:p>
        </w:tc>
      </w:tr>
      <w:tr>
        <w:tblPrEx>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CellMar>
            <w:top w:w="0" w:type="dxa"/>
            <w:left w:w="0" w:type="dxa"/>
            <w:bottom w:w="0" w:type="dxa"/>
            <w:right w:w="0" w:type="dxa"/>
          </w:tblCellMar>
        </w:tblPrEx>
        <w:trPr>
          <w:trHeight w:val="34" w:hRule="atLeast"/>
          <w:jc w:val="center"/>
        </w:trPr>
        <w:tc>
          <w:tcPr>
            <w:tcW w:w="1346" w:type="dxa"/>
            <w:vMerge w:val="continue"/>
            <w:tcBorders>
              <w:top w:val="single" w:color="auto" w:sz="4" w:space="0"/>
              <w:bottom w:val="single" w:color="auto" w:sz="4" w:space="0"/>
              <w:right w:val="single" w:color="auto" w:sz="4" w:space="0"/>
            </w:tcBorders>
            <w:shd w:val="clear" w:color="auto" w:fill="FFFFFF" w:themeFill="background1"/>
            <w:vAlign w:val="center"/>
          </w:tcPr>
          <w:p>
            <w:pPr>
              <w:pStyle w:val="178"/>
              <w:jc w:val="left"/>
              <w:rPr>
                <w:rFonts w:hint="eastAsia"/>
              </w:rPr>
            </w:pPr>
          </w:p>
        </w:tc>
        <w:tc>
          <w:tcPr>
            <w:tcW w:w="1300" w:type="dxa"/>
            <w:vMerge w:val="continue"/>
            <w:tcBorders>
              <w:left w:val="single" w:color="auto" w:sz="4" w:space="0"/>
              <w:right w:val="single" w:color="auto" w:sz="4" w:space="0"/>
            </w:tcBorders>
            <w:shd w:val="clear" w:color="auto" w:fill="FEF2CC" w:themeFill="accent4" w:themeFillTint="33"/>
            <w:vAlign w:val="center"/>
          </w:tcPr>
          <w:p>
            <w:pPr>
              <w:pStyle w:val="178"/>
              <w:jc w:val="left"/>
              <w:rPr>
                <w:rFonts w:hint="eastAsia"/>
              </w:rPr>
            </w:pPr>
          </w:p>
        </w:tc>
        <w:tc>
          <w:tcPr>
            <w:tcW w:w="4660" w:type="dxa"/>
            <w:tcBorders>
              <w:top w:val="single" w:color="auto" w:sz="4" w:space="0"/>
              <w:left w:val="single" w:color="auto" w:sz="4" w:space="0"/>
              <w:bottom w:val="single" w:color="auto" w:sz="8" w:space="0"/>
            </w:tcBorders>
            <w:shd w:val="clear" w:color="auto" w:fill="FEF2CC" w:themeFill="accent4" w:themeFillTint="33"/>
            <w:vAlign w:val="center"/>
          </w:tcPr>
          <w:p>
            <w:pPr>
              <w:pStyle w:val="178"/>
              <w:jc w:val="left"/>
              <w:rPr>
                <w:rFonts w:hint="eastAsia"/>
              </w:rPr>
            </w:pPr>
            <w:r>
              <w:rPr>
                <w:rFonts w:hint="eastAsia"/>
                <w:lang w:val="en-US" w:eastAsia="zh-CN"/>
              </w:rPr>
              <w:t>当反垄断执法机构约谈或提出反垄断合规行政指导意见时，应主动、全面、及时地实施整改，并报告整改情况</w:t>
            </w:r>
          </w:p>
        </w:tc>
        <w:tc>
          <w:tcPr>
            <w:tcW w:w="848" w:type="dxa"/>
            <w:shd w:val="clear" w:color="auto" w:fill="FEF2CC" w:themeFill="accent4" w:themeFillTint="33"/>
            <w:vAlign w:val="center"/>
          </w:tcPr>
          <w:p>
            <w:pPr>
              <w:pStyle w:val="178"/>
              <w:jc w:val="left"/>
              <w:rPr>
                <w:rFonts w:hint="eastAsia"/>
              </w:rPr>
            </w:pPr>
          </w:p>
        </w:tc>
      </w:tr>
      <w:tr>
        <w:tblPrEx>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CellMar>
            <w:top w:w="0" w:type="dxa"/>
            <w:left w:w="0" w:type="dxa"/>
            <w:bottom w:w="0" w:type="dxa"/>
            <w:right w:w="0" w:type="dxa"/>
          </w:tblCellMar>
        </w:tblPrEx>
        <w:trPr>
          <w:trHeight w:val="34" w:hRule="atLeast"/>
          <w:jc w:val="center"/>
        </w:trPr>
        <w:tc>
          <w:tcPr>
            <w:tcW w:w="1346" w:type="dxa"/>
            <w:vMerge w:val="continue"/>
            <w:tcBorders>
              <w:top w:val="single" w:color="auto" w:sz="4" w:space="0"/>
              <w:bottom w:val="single" w:color="auto" w:sz="4" w:space="0"/>
              <w:right w:val="single" w:color="auto" w:sz="4" w:space="0"/>
            </w:tcBorders>
            <w:shd w:val="clear" w:color="auto" w:fill="FFFFFF" w:themeFill="background1"/>
            <w:vAlign w:val="center"/>
          </w:tcPr>
          <w:p>
            <w:pPr>
              <w:pStyle w:val="178"/>
              <w:jc w:val="left"/>
              <w:rPr>
                <w:rFonts w:hint="eastAsia"/>
              </w:rPr>
            </w:pPr>
          </w:p>
        </w:tc>
        <w:tc>
          <w:tcPr>
            <w:tcW w:w="1300" w:type="dxa"/>
            <w:vMerge w:val="continue"/>
            <w:tcBorders>
              <w:left w:val="single" w:color="auto" w:sz="4" w:space="0"/>
              <w:right w:val="single" w:color="auto" w:sz="4" w:space="0"/>
            </w:tcBorders>
            <w:shd w:val="clear" w:color="auto" w:fill="FEF2CC" w:themeFill="accent4" w:themeFillTint="33"/>
            <w:vAlign w:val="center"/>
          </w:tcPr>
          <w:p>
            <w:pPr>
              <w:pStyle w:val="178"/>
              <w:jc w:val="left"/>
              <w:rPr>
                <w:rFonts w:hint="eastAsia"/>
              </w:rPr>
            </w:pPr>
          </w:p>
        </w:tc>
        <w:tc>
          <w:tcPr>
            <w:tcW w:w="4660" w:type="dxa"/>
            <w:tcBorders>
              <w:top w:val="single" w:color="auto" w:sz="4" w:space="0"/>
              <w:left w:val="single" w:color="auto" w:sz="4" w:space="0"/>
              <w:bottom w:val="single" w:color="auto" w:sz="8" w:space="0"/>
            </w:tcBorders>
            <w:shd w:val="clear" w:color="auto" w:fill="FEF2CC" w:themeFill="accent4" w:themeFillTint="33"/>
            <w:vAlign w:val="center"/>
          </w:tcPr>
          <w:p>
            <w:pPr>
              <w:pStyle w:val="178"/>
              <w:jc w:val="left"/>
              <w:rPr>
                <w:rFonts w:hint="eastAsia"/>
              </w:rPr>
            </w:pPr>
            <w:r>
              <w:rPr>
                <w:rFonts w:hint="eastAsia"/>
              </w:rPr>
              <w:t>当反垄断执法机构调查时，应积极主动配合调查，涉及的相关问题自查自纠</w:t>
            </w:r>
          </w:p>
        </w:tc>
        <w:tc>
          <w:tcPr>
            <w:tcW w:w="848" w:type="dxa"/>
            <w:shd w:val="clear" w:color="auto" w:fill="FEF2CC" w:themeFill="accent4" w:themeFillTint="33"/>
            <w:vAlign w:val="center"/>
          </w:tcPr>
          <w:p>
            <w:pPr>
              <w:pStyle w:val="178"/>
              <w:jc w:val="left"/>
              <w:rPr>
                <w:rFonts w:hint="eastAsia"/>
              </w:rPr>
            </w:pPr>
          </w:p>
        </w:tc>
      </w:tr>
    </w:tbl>
    <w:p>
      <w:pPr>
        <w:pStyle w:val="56"/>
        <w:ind w:firstLine="420"/>
      </w:pPr>
    </w:p>
    <w:p>
      <w:pPr>
        <w:pStyle w:val="56"/>
        <w:ind w:firstLine="420"/>
        <w:rPr>
          <w:rFonts w:hint="eastAsia"/>
        </w:rPr>
      </w:pPr>
      <w:r>
        <w:rPr>
          <w:rFonts w:hint="eastAsia"/>
        </w:rPr>
        <w:t>注：</w:t>
      </w:r>
    </w:p>
    <w:tbl>
      <w:tblPr>
        <w:tblStyle w:val="27"/>
        <w:tblW w:w="0" w:type="auto"/>
        <w:tblInd w:w="808" w:type="dxa"/>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Layout w:type="autofit"/>
        <w:tblCellMar>
          <w:top w:w="0" w:type="dxa"/>
          <w:left w:w="0" w:type="dxa"/>
          <w:bottom w:w="0" w:type="dxa"/>
          <w:right w:w="0" w:type="dxa"/>
        </w:tblCellMar>
      </w:tblPr>
      <w:tblGrid>
        <w:gridCol w:w="5233"/>
      </w:tblGrid>
      <w:tr>
        <w:tblPrEx>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CellMar>
            <w:top w:w="0" w:type="dxa"/>
            <w:left w:w="0" w:type="dxa"/>
            <w:bottom w:w="0" w:type="dxa"/>
            <w:right w:w="0" w:type="dxa"/>
          </w:tblCellMar>
        </w:tblPrEx>
        <w:trPr>
          <w:tblHeader/>
        </w:trPr>
        <w:tc>
          <w:tcPr>
            <w:tcW w:w="5233" w:type="dxa"/>
            <w:tcBorders>
              <w:top w:val="single" w:color="auto" w:sz="8" w:space="0"/>
              <w:bottom w:val="single" w:color="auto" w:sz="8" w:space="0"/>
            </w:tcBorders>
            <w:shd w:val="clear" w:color="auto" w:fill="auto"/>
            <w:vAlign w:val="center"/>
          </w:tcPr>
          <w:p>
            <w:pPr>
              <w:pStyle w:val="178"/>
              <w:rPr>
                <w:rFonts w:hint="eastAsia"/>
              </w:rPr>
            </w:pPr>
            <w:r>
              <w:rPr>
                <w:rFonts w:hint="eastAsia"/>
              </w:rPr>
              <w:t>1.白底表栏代表该项指标主要评价适宜性；</w:t>
            </w:r>
          </w:p>
        </w:tc>
      </w:tr>
      <w:tr>
        <w:tblPrEx>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CellMar>
            <w:top w:w="0" w:type="dxa"/>
            <w:left w:w="0" w:type="dxa"/>
            <w:bottom w:w="0" w:type="dxa"/>
            <w:right w:w="0" w:type="dxa"/>
          </w:tblCellMar>
        </w:tblPrEx>
        <w:tc>
          <w:tcPr>
            <w:tcW w:w="5233" w:type="dxa"/>
            <w:tcBorders>
              <w:top w:val="single" w:color="auto" w:sz="8" w:space="0"/>
              <w:bottom w:val="single" w:color="auto" w:sz="4" w:space="0"/>
            </w:tcBorders>
            <w:shd w:val="clear" w:color="auto" w:fill="E2EFD9" w:themeFill="accent6" w:themeFillTint="33"/>
            <w:vAlign w:val="center"/>
          </w:tcPr>
          <w:p>
            <w:pPr>
              <w:pStyle w:val="178"/>
              <w:rPr>
                <w:rFonts w:hint="eastAsia"/>
              </w:rPr>
            </w:pPr>
            <w:r>
              <w:rPr>
                <w:rFonts w:hint="eastAsia"/>
              </w:rPr>
              <w:t>2.绿底表栏代表该项指标主要评价</w:t>
            </w:r>
            <w:r>
              <w:rPr>
                <w:rFonts w:hint="eastAsia"/>
                <w:lang w:val="en-US" w:eastAsia="zh-CN"/>
              </w:rPr>
              <w:t>充分</w:t>
            </w:r>
            <w:r>
              <w:rPr>
                <w:rFonts w:hint="eastAsia"/>
              </w:rPr>
              <w:t>性；</w:t>
            </w:r>
          </w:p>
        </w:tc>
      </w:tr>
      <w:tr>
        <w:tblPrEx>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CellMar>
            <w:top w:w="0" w:type="dxa"/>
            <w:left w:w="0" w:type="dxa"/>
            <w:bottom w:w="0" w:type="dxa"/>
            <w:right w:w="0" w:type="dxa"/>
          </w:tblCellMar>
        </w:tblPrEx>
        <w:tc>
          <w:tcPr>
            <w:tcW w:w="5233" w:type="dxa"/>
            <w:tcBorders>
              <w:top w:val="single" w:color="auto" w:sz="4" w:space="0"/>
              <w:bottom w:val="single" w:color="auto" w:sz="8" w:space="0"/>
            </w:tcBorders>
            <w:shd w:val="clear" w:color="auto" w:fill="FEF2CC" w:themeFill="accent4" w:themeFillTint="33"/>
            <w:vAlign w:val="center"/>
          </w:tcPr>
          <w:p>
            <w:pPr>
              <w:pStyle w:val="178"/>
              <w:rPr>
                <w:rFonts w:hint="eastAsia"/>
              </w:rPr>
            </w:pPr>
            <w:r>
              <w:rPr>
                <w:rFonts w:hint="eastAsia"/>
              </w:rPr>
              <w:t>3.黄底表栏代表该项指标主要评价</w:t>
            </w:r>
            <w:r>
              <w:rPr>
                <w:rFonts w:hint="eastAsia"/>
                <w:lang w:val="en-US" w:eastAsia="zh-CN"/>
              </w:rPr>
              <w:t>有效</w:t>
            </w:r>
            <w:r>
              <w:rPr>
                <w:rFonts w:hint="eastAsia"/>
              </w:rPr>
              <w:t>性；</w:t>
            </w:r>
          </w:p>
        </w:tc>
      </w:tr>
    </w:tbl>
    <w:p>
      <w:pPr>
        <w:pStyle w:val="56"/>
        <w:ind w:firstLine="420"/>
        <w:rPr>
          <w:rFonts w:hint="eastAsia"/>
        </w:rPr>
      </w:pPr>
    </w:p>
    <w:p>
      <w:pPr>
        <w:pStyle w:val="56"/>
        <w:ind w:firstLine="420"/>
        <w:rPr>
          <w:rFonts w:hint="eastAsia"/>
        </w:rPr>
      </w:pPr>
    </w:p>
    <w:p>
      <w:pPr>
        <w:pStyle w:val="56"/>
        <w:ind w:firstLine="420"/>
        <w:rPr>
          <w:rFonts w:hint="eastAsia"/>
        </w:rPr>
      </w:pPr>
    </w:p>
    <w:p>
      <w:pPr>
        <w:pStyle w:val="56"/>
        <w:ind w:firstLine="420"/>
        <w:rPr>
          <w:rFonts w:hint="eastAsia"/>
        </w:rPr>
      </w:pPr>
    </w:p>
    <w:p>
      <w:pPr>
        <w:pStyle w:val="56"/>
        <w:ind w:firstLine="420"/>
      </w:pPr>
    </w:p>
    <w:p>
      <w:pPr>
        <w:pStyle w:val="56"/>
        <w:ind w:firstLine="420"/>
      </w:pPr>
    </w:p>
    <w:p>
      <w:pPr>
        <w:pStyle w:val="56"/>
        <w:ind w:firstLine="420"/>
      </w:pPr>
    </w:p>
    <w:p>
      <w:pPr>
        <w:pStyle w:val="56"/>
        <w:ind w:firstLine="420"/>
        <w:rPr>
          <w:rFonts w:hint="eastAsia"/>
        </w:rPr>
      </w:pPr>
    </w:p>
    <w:p>
      <w:pPr>
        <w:pStyle w:val="56"/>
        <w:ind w:firstLine="420"/>
        <w:rPr>
          <w:rFonts w:hint="eastAsia"/>
        </w:rPr>
      </w:pPr>
    </w:p>
    <w:p>
      <w:pPr>
        <w:pStyle w:val="56"/>
        <w:ind w:firstLine="420"/>
        <w:sectPr>
          <w:pgSz w:w="11906" w:h="16838"/>
          <w:pgMar w:top="1928" w:right="1134" w:bottom="1134" w:left="1134" w:header="1418" w:footer="1134" w:gutter="284"/>
          <w:cols w:space="425" w:num="1"/>
          <w:formProt w:val="0"/>
          <w:docGrid w:linePitch="312" w:charSpace="0"/>
        </w:sectPr>
      </w:pPr>
    </w:p>
    <w:p>
      <w:pPr>
        <w:pStyle w:val="198"/>
        <w:rPr>
          <w:rFonts w:hint="eastAsia"/>
          <w:vanish w:val="0"/>
        </w:rPr>
      </w:pPr>
    </w:p>
    <w:p>
      <w:pPr>
        <w:pStyle w:val="199"/>
        <w:rPr>
          <w:rFonts w:hint="eastAsia"/>
          <w:vanish w:val="0"/>
        </w:rPr>
      </w:pPr>
    </w:p>
    <w:p>
      <w:pPr>
        <w:pStyle w:val="76"/>
        <w:spacing w:after="120"/>
        <w:rPr>
          <w:rFonts w:hint="eastAsia"/>
        </w:rPr>
      </w:pPr>
      <w:r>
        <w:br w:type="textWrapping"/>
      </w:r>
      <w:r>
        <w:rPr>
          <w:rFonts w:hint="eastAsia"/>
        </w:rPr>
        <w:t>（资料性）</w:t>
      </w:r>
      <w:r>
        <w:br w:type="textWrapping"/>
      </w:r>
      <w:r>
        <w:rPr>
          <w:rFonts w:hint="eastAsia"/>
        </w:rPr>
        <w:t>经营者反垄断合规管理评价评分规则</w:t>
      </w:r>
    </w:p>
    <w:p>
      <w:pPr>
        <w:pStyle w:val="78"/>
        <w:spacing w:before="120" w:after="120"/>
        <w:rPr>
          <w:rFonts w:hint="eastAsia"/>
        </w:rPr>
      </w:pPr>
      <w:r>
        <w:rPr>
          <w:rFonts w:hint="eastAsia"/>
        </w:rPr>
        <w:t>适应性指标评分规则</w:t>
      </w:r>
    </w:p>
    <w:p>
      <w:pPr>
        <w:pStyle w:val="56"/>
        <w:ind w:firstLine="420"/>
        <w:rPr>
          <w:rFonts w:hint="eastAsia"/>
        </w:rPr>
      </w:pPr>
      <w:r>
        <w:rPr>
          <w:rFonts w:hint="eastAsia"/>
        </w:rPr>
        <w:t>针对需要评价适应性的指标项，评分比例参见下表：</w:t>
      </w:r>
    </w:p>
    <w:tbl>
      <w:tblPr>
        <w:tblStyle w:val="27"/>
        <w:tblW w:w="0" w:type="auto"/>
        <w:jc w:val="center"/>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Layout w:type="autofit"/>
        <w:tblCellMar>
          <w:top w:w="0" w:type="dxa"/>
          <w:left w:w="0" w:type="dxa"/>
          <w:bottom w:w="0" w:type="dxa"/>
          <w:right w:w="0" w:type="dxa"/>
        </w:tblCellMar>
      </w:tblPr>
      <w:tblGrid>
        <w:gridCol w:w="1833"/>
        <w:gridCol w:w="7501"/>
      </w:tblGrid>
      <w:tr>
        <w:tblPrEx>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CellMar>
            <w:top w:w="0" w:type="dxa"/>
            <w:left w:w="0" w:type="dxa"/>
            <w:bottom w:w="0" w:type="dxa"/>
            <w:right w:w="0" w:type="dxa"/>
          </w:tblCellMar>
        </w:tblPrEx>
        <w:trPr>
          <w:tblHeader/>
          <w:jc w:val="center"/>
        </w:trPr>
        <w:tc>
          <w:tcPr>
            <w:tcW w:w="1833" w:type="dxa"/>
            <w:tcBorders>
              <w:top w:val="single" w:color="auto" w:sz="8" w:space="0"/>
              <w:bottom w:val="single" w:color="auto" w:sz="8" w:space="0"/>
            </w:tcBorders>
            <w:shd w:val="clear" w:color="auto" w:fill="auto"/>
            <w:vAlign w:val="center"/>
          </w:tcPr>
          <w:p>
            <w:pPr>
              <w:pStyle w:val="178"/>
              <w:rPr>
                <w:rFonts w:hint="eastAsia"/>
              </w:rPr>
            </w:pPr>
            <w:r>
              <w:rPr>
                <w:rFonts w:hint="eastAsia"/>
              </w:rPr>
              <w:t>评分比例</w:t>
            </w:r>
          </w:p>
        </w:tc>
        <w:tc>
          <w:tcPr>
            <w:tcW w:w="7501" w:type="dxa"/>
            <w:tcBorders>
              <w:top w:val="single" w:color="auto" w:sz="8" w:space="0"/>
              <w:bottom w:val="single" w:color="auto" w:sz="8" w:space="0"/>
            </w:tcBorders>
            <w:shd w:val="clear" w:color="auto" w:fill="auto"/>
            <w:vAlign w:val="center"/>
          </w:tcPr>
          <w:p>
            <w:pPr>
              <w:pStyle w:val="178"/>
              <w:rPr>
                <w:rFonts w:hint="eastAsia"/>
              </w:rPr>
            </w:pPr>
            <w:r>
              <w:rPr>
                <w:rFonts w:hint="eastAsia"/>
              </w:rPr>
              <w:t>要点</w:t>
            </w:r>
          </w:p>
        </w:tc>
      </w:tr>
      <w:tr>
        <w:tblPrEx>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PrEx>
        <w:trPr>
          <w:jc w:val="center"/>
        </w:trPr>
        <w:tc>
          <w:tcPr>
            <w:tcW w:w="1833" w:type="dxa"/>
            <w:tcBorders>
              <w:top w:val="single" w:color="auto" w:sz="8" w:space="0"/>
            </w:tcBorders>
            <w:shd w:val="clear" w:color="auto" w:fill="auto"/>
            <w:vAlign w:val="center"/>
          </w:tcPr>
          <w:p>
            <w:pPr>
              <w:pStyle w:val="178"/>
              <w:rPr>
                <w:rFonts w:hint="eastAsia"/>
              </w:rPr>
            </w:pPr>
            <w:r>
              <w:rPr>
                <w:rFonts w:hint="eastAsia"/>
              </w:rPr>
              <w:t>0-20%</w:t>
            </w:r>
          </w:p>
        </w:tc>
        <w:tc>
          <w:tcPr>
            <w:tcW w:w="7501" w:type="dxa"/>
            <w:tcBorders>
              <w:top w:val="single" w:color="auto" w:sz="8" w:space="0"/>
            </w:tcBorders>
            <w:shd w:val="clear" w:color="auto" w:fill="auto"/>
          </w:tcPr>
          <w:p>
            <w:pPr>
              <w:pStyle w:val="178"/>
              <w:rPr>
                <w:rFonts w:hint="eastAsia"/>
              </w:rPr>
            </w:pPr>
            <w:r>
              <w:rPr>
                <w:rFonts w:hint="eastAsia"/>
              </w:rPr>
              <w:t>被评价对象在该项指标上几乎不能匹配内外部事项或相关方预期，或没有相关评价材料</w:t>
            </w:r>
          </w:p>
        </w:tc>
      </w:tr>
      <w:tr>
        <w:tblPrEx>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CellMar>
            <w:top w:w="0" w:type="dxa"/>
            <w:left w:w="0" w:type="dxa"/>
            <w:bottom w:w="0" w:type="dxa"/>
            <w:right w:w="0" w:type="dxa"/>
          </w:tblCellMar>
        </w:tblPrEx>
        <w:trPr>
          <w:jc w:val="center"/>
        </w:trPr>
        <w:tc>
          <w:tcPr>
            <w:tcW w:w="1833" w:type="dxa"/>
            <w:shd w:val="clear" w:color="auto" w:fill="auto"/>
            <w:vAlign w:val="center"/>
          </w:tcPr>
          <w:p>
            <w:pPr>
              <w:pStyle w:val="178"/>
              <w:rPr>
                <w:rFonts w:hint="eastAsia"/>
              </w:rPr>
            </w:pPr>
            <w:r>
              <w:rPr>
                <w:rFonts w:hint="eastAsia"/>
              </w:rPr>
              <w:t>21-40%</w:t>
            </w:r>
          </w:p>
        </w:tc>
        <w:tc>
          <w:tcPr>
            <w:tcW w:w="7501" w:type="dxa"/>
            <w:shd w:val="clear" w:color="auto" w:fill="auto"/>
          </w:tcPr>
          <w:p>
            <w:pPr>
              <w:pStyle w:val="178"/>
              <w:rPr>
                <w:rFonts w:hint="eastAsia"/>
              </w:rPr>
            </w:pPr>
            <w:r>
              <w:rPr>
                <w:rFonts w:hint="eastAsia"/>
              </w:rPr>
              <w:t>被评价对象在该项指标上较少不能匹配内外部事项或相关方预期，或相关评价材料不完整</w:t>
            </w:r>
          </w:p>
        </w:tc>
      </w:tr>
      <w:tr>
        <w:tblPrEx>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PrEx>
        <w:trPr>
          <w:jc w:val="center"/>
        </w:trPr>
        <w:tc>
          <w:tcPr>
            <w:tcW w:w="1833" w:type="dxa"/>
            <w:shd w:val="clear" w:color="auto" w:fill="auto"/>
            <w:vAlign w:val="center"/>
          </w:tcPr>
          <w:p>
            <w:pPr>
              <w:pStyle w:val="178"/>
              <w:rPr>
                <w:rFonts w:hint="eastAsia"/>
              </w:rPr>
            </w:pPr>
            <w:r>
              <w:rPr>
                <w:rFonts w:hint="eastAsia"/>
              </w:rPr>
              <w:t>41-60%</w:t>
            </w:r>
          </w:p>
        </w:tc>
        <w:tc>
          <w:tcPr>
            <w:tcW w:w="7501" w:type="dxa"/>
            <w:shd w:val="clear" w:color="auto" w:fill="auto"/>
          </w:tcPr>
          <w:p>
            <w:pPr>
              <w:pStyle w:val="178"/>
              <w:rPr>
                <w:rFonts w:hint="eastAsia"/>
              </w:rPr>
            </w:pPr>
            <w:r>
              <w:rPr>
                <w:rFonts w:hint="eastAsia"/>
              </w:rPr>
              <w:t>被评价对象在该项指标上基本能匹配内外部事项或相关方预期，或相关评价材料有少量欠缺</w:t>
            </w:r>
          </w:p>
        </w:tc>
      </w:tr>
      <w:tr>
        <w:tblPrEx>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CellMar>
            <w:top w:w="0" w:type="dxa"/>
            <w:left w:w="0" w:type="dxa"/>
            <w:bottom w:w="0" w:type="dxa"/>
            <w:right w:w="0" w:type="dxa"/>
          </w:tblCellMar>
        </w:tblPrEx>
        <w:trPr>
          <w:jc w:val="center"/>
        </w:trPr>
        <w:tc>
          <w:tcPr>
            <w:tcW w:w="1833" w:type="dxa"/>
            <w:shd w:val="clear" w:color="auto" w:fill="auto"/>
            <w:vAlign w:val="center"/>
          </w:tcPr>
          <w:p>
            <w:pPr>
              <w:pStyle w:val="178"/>
              <w:rPr>
                <w:rFonts w:hint="eastAsia"/>
              </w:rPr>
            </w:pPr>
            <w:r>
              <w:rPr>
                <w:rFonts w:hint="eastAsia"/>
              </w:rPr>
              <w:t>61-80%</w:t>
            </w:r>
          </w:p>
        </w:tc>
        <w:tc>
          <w:tcPr>
            <w:tcW w:w="7501" w:type="dxa"/>
            <w:shd w:val="clear" w:color="auto" w:fill="auto"/>
          </w:tcPr>
          <w:p>
            <w:pPr>
              <w:pStyle w:val="178"/>
              <w:rPr>
                <w:rFonts w:hint="eastAsia"/>
              </w:rPr>
            </w:pPr>
            <w:r>
              <w:rPr>
                <w:rFonts w:hint="eastAsia"/>
              </w:rPr>
              <w:t>被评价对象在该项指标上能匹配内外部事项或相关方预期，或相关评价材料基本完整</w:t>
            </w:r>
          </w:p>
        </w:tc>
      </w:tr>
      <w:tr>
        <w:tblPrEx>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PrEx>
        <w:trPr>
          <w:jc w:val="center"/>
        </w:trPr>
        <w:tc>
          <w:tcPr>
            <w:tcW w:w="1833" w:type="dxa"/>
            <w:shd w:val="clear" w:color="auto" w:fill="auto"/>
            <w:vAlign w:val="center"/>
          </w:tcPr>
          <w:p>
            <w:pPr>
              <w:pStyle w:val="178"/>
              <w:rPr>
                <w:rFonts w:hint="eastAsia"/>
              </w:rPr>
            </w:pPr>
            <w:r>
              <w:rPr>
                <w:rFonts w:hint="eastAsia"/>
              </w:rPr>
              <w:t>81-100%</w:t>
            </w:r>
          </w:p>
        </w:tc>
        <w:tc>
          <w:tcPr>
            <w:tcW w:w="7501" w:type="dxa"/>
            <w:shd w:val="clear" w:color="auto" w:fill="auto"/>
          </w:tcPr>
          <w:p>
            <w:pPr>
              <w:pStyle w:val="178"/>
              <w:rPr>
                <w:rFonts w:hint="eastAsia"/>
              </w:rPr>
            </w:pPr>
            <w:r>
              <w:rPr>
                <w:rFonts w:hint="eastAsia"/>
              </w:rPr>
              <w:t>被评价对象在该项指标上完全能匹配内外部事项或相关方预期，或相关评价材料完整</w:t>
            </w:r>
          </w:p>
        </w:tc>
      </w:tr>
    </w:tbl>
    <w:p>
      <w:pPr>
        <w:pStyle w:val="78"/>
        <w:spacing w:before="120" w:after="120"/>
        <w:rPr>
          <w:rFonts w:hint="eastAsia"/>
        </w:rPr>
      </w:pPr>
      <w:r>
        <w:rPr>
          <w:rFonts w:hint="eastAsia"/>
        </w:rPr>
        <w:t>充分性评分规则</w:t>
      </w:r>
    </w:p>
    <w:p>
      <w:pPr>
        <w:pStyle w:val="56"/>
        <w:ind w:firstLine="420"/>
        <w:rPr>
          <w:rFonts w:hint="eastAsia"/>
        </w:rPr>
      </w:pPr>
      <w:r>
        <w:rPr>
          <w:rFonts w:hint="eastAsia"/>
        </w:rPr>
        <w:t>针对需要评价适应性的指标项，评分比例参见下表：</w:t>
      </w:r>
    </w:p>
    <w:tbl>
      <w:tblPr>
        <w:tblStyle w:val="27"/>
        <w:tblW w:w="0" w:type="auto"/>
        <w:jc w:val="center"/>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Layout w:type="autofit"/>
        <w:tblCellMar>
          <w:top w:w="0" w:type="dxa"/>
          <w:left w:w="0" w:type="dxa"/>
          <w:bottom w:w="0" w:type="dxa"/>
          <w:right w:w="0" w:type="dxa"/>
        </w:tblCellMar>
      </w:tblPr>
      <w:tblGrid>
        <w:gridCol w:w="1833"/>
        <w:gridCol w:w="7501"/>
      </w:tblGrid>
      <w:tr>
        <w:tblPrEx>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CellMar>
            <w:top w:w="0" w:type="dxa"/>
            <w:left w:w="0" w:type="dxa"/>
            <w:bottom w:w="0" w:type="dxa"/>
            <w:right w:w="0" w:type="dxa"/>
          </w:tblCellMar>
        </w:tblPrEx>
        <w:trPr>
          <w:tblHeader/>
          <w:jc w:val="center"/>
        </w:trPr>
        <w:tc>
          <w:tcPr>
            <w:tcW w:w="1833" w:type="dxa"/>
            <w:tcBorders>
              <w:top w:val="single" w:color="auto" w:sz="8" w:space="0"/>
              <w:bottom w:val="single" w:color="auto" w:sz="8" w:space="0"/>
            </w:tcBorders>
            <w:shd w:val="clear" w:color="auto" w:fill="auto"/>
            <w:vAlign w:val="center"/>
          </w:tcPr>
          <w:p>
            <w:pPr>
              <w:pStyle w:val="178"/>
              <w:rPr>
                <w:rFonts w:hint="eastAsia"/>
              </w:rPr>
            </w:pPr>
            <w:r>
              <w:rPr>
                <w:rFonts w:hint="eastAsia"/>
              </w:rPr>
              <w:t>评分比例</w:t>
            </w:r>
          </w:p>
        </w:tc>
        <w:tc>
          <w:tcPr>
            <w:tcW w:w="7501" w:type="dxa"/>
            <w:tcBorders>
              <w:top w:val="single" w:color="auto" w:sz="8" w:space="0"/>
              <w:bottom w:val="single" w:color="auto" w:sz="8" w:space="0"/>
            </w:tcBorders>
            <w:shd w:val="clear" w:color="auto" w:fill="auto"/>
            <w:vAlign w:val="center"/>
          </w:tcPr>
          <w:p>
            <w:pPr>
              <w:pStyle w:val="178"/>
              <w:rPr>
                <w:rFonts w:hint="eastAsia"/>
              </w:rPr>
            </w:pPr>
            <w:r>
              <w:rPr>
                <w:rFonts w:hint="eastAsia"/>
              </w:rPr>
              <w:t>要点</w:t>
            </w:r>
          </w:p>
        </w:tc>
      </w:tr>
      <w:tr>
        <w:tblPrEx>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CellMar>
            <w:top w:w="0" w:type="dxa"/>
            <w:left w:w="0" w:type="dxa"/>
            <w:bottom w:w="0" w:type="dxa"/>
            <w:right w:w="0" w:type="dxa"/>
          </w:tblCellMar>
        </w:tblPrEx>
        <w:trPr>
          <w:jc w:val="center"/>
        </w:trPr>
        <w:tc>
          <w:tcPr>
            <w:tcW w:w="1833" w:type="dxa"/>
            <w:tcBorders>
              <w:top w:val="single" w:color="auto" w:sz="8" w:space="0"/>
            </w:tcBorders>
            <w:shd w:val="clear" w:color="auto" w:fill="auto"/>
            <w:vAlign w:val="center"/>
          </w:tcPr>
          <w:p>
            <w:pPr>
              <w:pStyle w:val="178"/>
              <w:rPr>
                <w:rFonts w:hint="eastAsia"/>
              </w:rPr>
            </w:pPr>
            <w:r>
              <w:rPr>
                <w:rFonts w:hint="eastAsia"/>
              </w:rPr>
              <w:t>0-20%</w:t>
            </w:r>
          </w:p>
        </w:tc>
        <w:tc>
          <w:tcPr>
            <w:tcW w:w="7501" w:type="dxa"/>
            <w:tcBorders>
              <w:top w:val="single" w:color="auto" w:sz="8" w:space="0"/>
            </w:tcBorders>
            <w:shd w:val="clear" w:color="auto" w:fill="auto"/>
          </w:tcPr>
          <w:p>
            <w:pPr>
              <w:pStyle w:val="178"/>
              <w:rPr>
                <w:rFonts w:hint="eastAsia"/>
              </w:rPr>
            </w:pPr>
            <w:r>
              <w:rPr>
                <w:rFonts w:hint="eastAsia"/>
              </w:rPr>
              <w:t>被评价对象在该项指标上几乎不能落实反垄断合规管理制度，或没有相关评价材料</w:t>
            </w:r>
          </w:p>
        </w:tc>
      </w:tr>
      <w:tr>
        <w:tblPrEx>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CellMar>
            <w:top w:w="0" w:type="dxa"/>
            <w:left w:w="0" w:type="dxa"/>
            <w:bottom w:w="0" w:type="dxa"/>
            <w:right w:w="0" w:type="dxa"/>
          </w:tblCellMar>
        </w:tblPrEx>
        <w:trPr>
          <w:jc w:val="center"/>
        </w:trPr>
        <w:tc>
          <w:tcPr>
            <w:tcW w:w="1833" w:type="dxa"/>
            <w:shd w:val="clear" w:color="auto" w:fill="auto"/>
            <w:vAlign w:val="center"/>
          </w:tcPr>
          <w:p>
            <w:pPr>
              <w:pStyle w:val="178"/>
              <w:rPr>
                <w:rFonts w:hint="eastAsia"/>
              </w:rPr>
            </w:pPr>
            <w:r>
              <w:rPr>
                <w:rFonts w:hint="eastAsia"/>
              </w:rPr>
              <w:t>21-40%</w:t>
            </w:r>
          </w:p>
        </w:tc>
        <w:tc>
          <w:tcPr>
            <w:tcW w:w="7501" w:type="dxa"/>
            <w:shd w:val="clear" w:color="auto" w:fill="auto"/>
          </w:tcPr>
          <w:p>
            <w:pPr>
              <w:pStyle w:val="178"/>
              <w:rPr>
                <w:rFonts w:hint="eastAsia"/>
              </w:rPr>
            </w:pPr>
            <w:r>
              <w:rPr>
                <w:rFonts w:hint="eastAsia"/>
              </w:rPr>
              <w:t>被评价对象在该项指标上较少不能落实反垄断合规管理制度，或相关评价材料不完整</w:t>
            </w:r>
          </w:p>
        </w:tc>
      </w:tr>
      <w:tr>
        <w:tblPrEx>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PrEx>
        <w:trPr>
          <w:jc w:val="center"/>
        </w:trPr>
        <w:tc>
          <w:tcPr>
            <w:tcW w:w="1833" w:type="dxa"/>
            <w:shd w:val="clear" w:color="auto" w:fill="auto"/>
            <w:vAlign w:val="center"/>
          </w:tcPr>
          <w:p>
            <w:pPr>
              <w:pStyle w:val="178"/>
              <w:rPr>
                <w:rFonts w:hint="eastAsia"/>
              </w:rPr>
            </w:pPr>
            <w:r>
              <w:rPr>
                <w:rFonts w:hint="eastAsia"/>
              </w:rPr>
              <w:t>41-60%</w:t>
            </w:r>
          </w:p>
        </w:tc>
        <w:tc>
          <w:tcPr>
            <w:tcW w:w="7501" w:type="dxa"/>
            <w:shd w:val="clear" w:color="auto" w:fill="auto"/>
          </w:tcPr>
          <w:p>
            <w:pPr>
              <w:pStyle w:val="178"/>
              <w:rPr>
                <w:rFonts w:hint="eastAsia"/>
              </w:rPr>
            </w:pPr>
            <w:r>
              <w:rPr>
                <w:rFonts w:hint="eastAsia"/>
              </w:rPr>
              <w:t>被评价对象在该项指标上基本能落实反垄断合规管理制度，或相关评价材料有少量欠缺</w:t>
            </w:r>
          </w:p>
        </w:tc>
      </w:tr>
      <w:tr>
        <w:tblPrEx>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CellMar>
            <w:top w:w="0" w:type="dxa"/>
            <w:left w:w="0" w:type="dxa"/>
            <w:bottom w:w="0" w:type="dxa"/>
            <w:right w:w="0" w:type="dxa"/>
          </w:tblCellMar>
        </w:tblPrEx>
        <w:trPr>
          <w:jc w:val="center"/>
        </w:trPr>
        <w:tc>
          <w:tcPr>
            <w:tcW w:w="1833" w:type="dxa"/>
            <w:shd w:val="clear" w:color="auto" w:fill="auto"/>
            <w:vAlign w:val="center"/>
          </w:tcPr>
          <w:p>
            <w:pPr>
              <w:pStyle w:val="178"/>
              <w:rPr>
                <w:rFonts w:hint="eastAsia"/>
              </w:rPr>
            </w:pPr>
            <w:r>
              <w:rPr>
                <w:rFonts w:hint="eastAsia"/>
              </w:rPr>
              <w:t>61-80%</w:t>
            </w:r>
          </w:p>
        </w:tc>
        <w:tc>
          <w:tcPr>
            <w:tcW w:w="7501" w:type="dxa"/>
            <w:shd w:val="clear" w:color="auto" w:fill="auto"/>
          </w:tcPr>
          <w:p>
            <w:pPr>
              <w:pStyle w:val="178"/>
              <w:rPr>
                <w:rFonts w:hint="eastAsia"/>
              </w:rPr>
            </w:pPr>
            <w:r>
              <w:rPr>
                <w:rFonts w:hint="eastAsia"/>
              </w:rPr>
              <w:t>被评价对象在该项指标上能落实反垄断合规管理制度，或相关评价材料基本完整</w:t>
            </w:r>
          </w:p>
        </w:tc>
      </w:tr>
      <w:tr>
        <w:tblPrEx>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CellMar>
            <w:top w:w="0" w:type="dxa"/>
            <w:left w:w="0" w:type="dxa"/>
            <w:bottom w:w="0" w:type="dxa"/>
            <w:right w:w="0" w:type="dxa"/>
          </w:tblCellMar>
        </w:tblPrEx>
        <w:trPr>
          <w:jc w:val="center"/>
        </w:trPr>
        <w:tc>
          <w:tcPr>
            <w:tcW w:w="1833" w:type="dxa"/>
            <w:shd w:val="clear" w:color="auto" w:fill="auto"/>
            <w:vAlign w:val="center"/>
          </w:tcPr>
          <w:p>
            <w:pPr>
              <w:pStyle w:val="178"/>
              <w:rPr>
                <w:rFonts w:hint="eastAsia"/>
              </w:rPr>
            </w:pPr>
            <w:r>
              <w:rPr>
                <w:rFonts w:hint="eastAsia"/>
              </w:rPr>
              <w:t>81-100%</w:t>
            </w:r>
          </w:p>
        </w:tc>
        <w:tc>
          <w:tcPr>
            <w:tcW w:w="7501" w:type="dxa"/>
            <w:shd w:val="clear" w:color="auto" w:fill="auto"/>
          </w:tcPr>
          <w:p>
            <w:pPr>
              <w:pStyle w:val="178"/>
              <w:rPr>
                <w:rFonts w:hint="eastAsia"/>
              </w:rPr>
            </w:pPr>
            <w:r>
              <w:rPr>
                <w:rFonts w:hint="eastAsia"/>
              </w:rPr>
              <w:t>被评价对象在该项指标上完全能落实反垄断合规管理制度，或相关评价材料完整</w:t>
            </w:r>
          </w:p>
        </w:tc>
      </w:tr>
    </w:tbl>
    <w:p>
      <w:pPr>
        <w:pStyle w:val="78"/>
        <w:spacing w:before="120" w:after="120"/>
        <w:rPr>
          <w:rFonts w:hint="eastAsia"/>
        </w:rPr>
      </w:pPr>
      <w:r>
        <w:rPr>
          <w:rFonts w:hint="eastAsia"/>
        </w:rPr>
        <w:t>有效性评分规则</w:t>
      </w:r>
    </w:p>
    <w:p>
      <w:pPr>
        <w:pStyle w:val="56"/>
        <w:ind w:firstLine="420"/>
      </w:pPr>
      <w:r>
        <w:rPr>
          <w:rFonts w:hint="eastAsia"/>
        </w:rPr>
        <w:t>针对需要评价适应性的指标项，评分比例参见下表：</w:t>
      </w:r>
    </w:p>
    <w:tbl>
      <w:tblPr>
        <w:tblStyle w:val="27"/>
        <w:tblW w:w="0" w:type="auto"/>
        <w:jc w:val="center"/>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Layout w:type="autofit"/>
        <w:tblCellMar>
          <w:top w:w="0" w:type="dxa"/>
          <w:left w:w="0" w:type="dxa"/>
          <w:bottom w:w="0" w:type="dxa"/>
          <w:right w:w="0" w:type="dxa"/>
        </w:tblCellMar>
      </w:tblPr>
      <w:tblGrid>
        <w:gridCol w:w="1833"/>
        <w:gridCol w:w="7501"/>
      </w:tblGrid>
      <w:tr>
        <w:tblPrEx>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CellMar>
            <w:top w:w="0" w:type="dxa"/>
            <w:left w:w="0" w:type="dxa"/>
            <w:bottom w:w="0" w:type="dxa"/>
            <w:right w:w="0" w:type="dxa"/>
          </w:tblCellMar>
        </w:tblPrEx>
        <w:trPr>
          <w:tblHeader/>
          <w:jc w:val="center"/>
        </w:trPr>
        <w:tc>
          <w:tcPr>
            <w:tcW w:w="1833" w:type="dxa"/>
            <w:tcBorders>
              <w:top w:val="single" w:color="auto" w:sz="8" w:space="0"/>
              <w:bottom w:val="single" w:color="auto" w:sz="8" w:space="0"/>
            </w:tcBorders>
            <w:shd w:val="clear" w:color="auto" w:fill="auto"/>
            <w:vAlign w:val="center"/>
          </w:tcPr>
          <w:p>
            <w:pPr>
              <w:pStyle w:val="178"/>
              <w:rPr>
                <w:rFonts w:hint="eastAsia"/>
              </w:rPr>
            </w:pPr>
            <w:r>
              <w:rPr>
                <w:rFonts w:hint="eastAsia"/>
              </w:rPr>
              <w:t>评分比例</w:t>
            </w:r>
          </w:p>
        </w:tc>
        <w:tc>
          <w:tcPr>
            <w:tcW w:w="7501" w:type="dxa"/>
            <w:tcBorders>
              <w:top w:val="single" w:color="auto" w:sz="8" w:space="0"/>
              <w:bottom w:val="single" w:color="auto" w:sz="8" w:space="0"/>
            </w:tcBorders>
            <w:shd w:val="clear" w:color="auto" w:fill="auto"/>
            <w:vAlign w:val="center"/>
          </w:tcPr>
          <w:p>
            <w:pPr>
              <w:pStyle w:val="178"/>
              <w:rPr>
                <w:rFonts w:hint="eastAsia"/>
              </w:rPr>
            </w:pPr>
            <w:r>
              <w:rPr>
                <w:rFonts w:hint="eastAsia"/>
              </w:rPr>
              <w:t>要点</w:t>
            </w:r>
          </w:p>
        </w:tc>
      </w:tr>
      <w:tr>
        <w:tblPrEx>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CellMar>
            <w:top w:w="0" w:type="dxa"/>
            <w:left w:w="0" w:type="dxa"/>
            <w:bottom w:w="0" w:type="dxa"/>
            <w:right w:w="0" w:type="dxa"/>
          </w:tblCellMar>
        </w:tblPrEx>
        <w:trPr>
          <w:jc w:val="center"/>
        </w:trPr>
        <w:tc>
          <w:tcPr>
            <w:tcW w:w="1833" w:type="dxa"/>
            <w:tcBorders>
              <w:top w:val="single" w:color="auto" w:sz="8" w:space="0"/>
            </w:tcBorders>
            <w:shd w:val="clear" w:color="auto" w:fill="auto"/>
            <w:vAlign w:val="center"/>
          </w:tcPr>
          <w:p>
            <w:pPr>
              <w:pStyle w:val="178"/>
              <w:rPr>
                <w:rFonts w:hint="eastAsia"/>
              </w:rPr>
            </w:pPr>
            <w:r>
              <w:rPr>
                <w:rFonts w:hint="eastAsia"/>
              </w:rPr>
              <w:t>0-20%</w:t>
            </w:r>
          </w:p>
        </w:tc>
        <w:tc>
          <w:tcPr>
            <w:tcW w:w="7501" w:type="dxa"/>
            <w:tcBorders>
              <w:top w:val="single" w:color="auto" w:sz="8" w:space="0"/>
            </w:tcBorders>
            <w:shd w:val="clear" w:color="auto" w:fill="auto"/>
          </w:tcPr>
          <w:p>
            <w:pPr>
              <w:pStyle w:val="178"/>
              <w:rPr>
                <w:rFonts w:hint="eastAsia"/>
              </w:rPr>
            </w:pPr>
            <w:r>
              <w:rPr>
                <w:rFonts w:hint="eastAsia"/>
              </w:rPr>
              <w:t>被评价对象在该项指标上的达成度几乎不符合预期效果，或没有相关评价材料</w:t>
            </w:r>
          </w:p>
        </w:tc>
      </w:tr>
      <w:tr>
        <w:tblPrEx>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CellMar>
            <w:top w:w="0" w:type="dxa"/>
            <w:left w:w="0" w:type="dxa"/>
            <w:bottom w:w="0" w:type="dxa"/>
            <w:right w:w="0" w:type="dxa"/>
          </w:tblCellMar>
        </w:tblPrEx>
        <w:trPr>
          <w:jc w:val="center"/>
        </w:trPr>
        <w:tc>
          <w:tcPr>
            <w:tcW w:w="1833" w:type="dxa"/>
            <w:shd w:val="clear" w:color="auto" w:fill="auto"/>
            <w:vAlign w:val="center"/>
          </w:tcPr>
          <w:p>
            <w:pPr>
              <w:pStyle w:val="178"/>
              <w:rPr>
                <w:rFonts w:hint="eastAsia"/>
              </w:rPr>
            </w:pPr>
            <w:r>
              <w:rPr>
                <w:rFonts w:hint="eastAsia"/>
              </w:rPr>
              <w:t>21-40%</w:t>
            </w:r>
          </w:p>
        </w:tc>
        <w:tc>
          <w:tcPr>
            <w:tcW w:w="7501" w:type="dxa"/>
            <w:shd w:val="clear" w:color="auto" w:fill="auto"/>
          </w:tcPr>
          <w:p>
            <w:pPr>
              <w:pStyle w:val="178"/>
              <w:rPr>
                <w:rFonts w:hint="eastAsia"/>
              </w:rPr>
            </w:pPr>
            <w:r>
              <w:rPr>
                <w:rFonts w:hint="eastAsia"/>
              </w:rPr>
              <w:t>被评价对象在该项指标上的达成度较少符合预期效果，或相关评价材料不完整</w:t>
            </w:r>
          </w:p>
        </w:tc>
      </w:tr>
      <w:tr>
        <w:tblPrEx>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PrEx>
        <w:trPr>
          <w:jc w:val="center"/>
        </w:trPr>
        <w:tc>
          <w:tcPr>
            <w:tcW w:w="1833" w:type="dxa"/>
            <w:shd w:val="clear" w:color="auto" w:fill="auto"/>
            <w:vAlign w:val="center"/>
          </w:tcPr>
          <w:p>
            <w:pPr>
              <w:pStyle w:val="178"/>
              <w:rPr>
                <w:rFonts w:hint="eastAsia"/>
              </w:rPr>
            </w:pPr>
            <w:r>
              <w:rPr>
                <w:rFonts w:hint="eastAsia"/>
              </w:rPr>
              <w:t>41-60%</w:t>
            </w:r>
          </w:p>
        </w:tc>
        <w:tc>
          <w:tcPr>
            <w:tcW w:w="7501" w:type="dxa"/>
            <w:shd w:val="clear" w:color="auto" w:fill="auto"/>
          </w:tcPr>
          <w:p>
            <w:pPr>
              <w:pStyle w:val="178"/>
              <w:rPr>
                <w:rFonts w:hint="eastAsia"/>
              </w:rPr>
            </w:pPr>
            <w:r>
              <w:rPr>
                <w:rFonts w:hint="eastAsia"/>
              </w:rPr>
              <w:t>被评价对象在该项指标上的达成度基本符合预期效果，或相关评价材料有少量欠缺</w:t>
            </w:r>
          </w:p>
        </w:tc>
      </w:tr>
      <w:tr>
        <w:tblPrEx>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CellMar>
            <w:top w:w="0" w:type="dxa"/>
            <w:left w:w="0" w:type="dxa"/>
            <w:bottom w:w="0" w:type="dxa"/>
            <w:right w:w="0" w:type="dxa"/>
          </w:tblCellMar>
        </w:tblPrEx>
        <w:trPr>
          <w:jc w:val="center"/>
        </w:trPr>
        <w:tc>
          <w:tcPr>
            <w:tcW w:w="1833" w:type="dxa"/>
            <w:shd w:val="clear" w:color="auto" w:fill="auto"/>
            <w:vAlign w:val="center"/>
          </w:tcPr>
          <w:p>
            <w:pPr>
              <w:pStyle w:val="178"/>
              <w:rPr>
                <w:rFonts w:hint="eastAsia"/>
              </w:rPr>
            </w:pPr>
            <w:r>
              <w:rPr>
                <w:rFonts w:hint="eastAsia"/>
              </w:rPr>
              <w:t>61-80%</w:t>
            </w:r>
          </w:p>
        </w:tc>
        <w:tc>
          <w:tcPr>
            <w:tcW w:w="7501" w:type="dxa"/>
            <w:shd w:val="clear" w:color="auto" w:fill="auto"/>
          </w:tcPr>
          <w:p>
            <w:pPr>
              <w:pStyle w:val="178"/>
              <w:rPr>
                <w:rFonts w:hint="eastAsia"/>
              </w:rPr>
            </w:pPr>
            <w:r>
              <w:rPr>
                <w:rFonts w:hint="eastAsia"/>
              </w:rPr>
              <w:t>被评价对象在该项指标上的达成度复合预期效果，或相关评价材料基本完整</w:t>
            </w:r>
          </w:p>
        </w:tc>
      </w:tr>
      <w:tr>
        <w:tblPrEx>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CellMar>
            <w:top w:w="0" w:type="dxa"/>
            <w:left w:w="0" w:type="dxa"/>
            <w:bottom w:w="0" w:type="dxa"/>
            <w:right w:w="0" w:type="dxa"/>
          </w:tblCellMar>
        </w:tblPrEx>
        <w:trPr>
          <w:jc w:val="center"/>
        </w:trPr>
        <w:tc>
          <w:tcPr>
            <w:tcW w:w="1833" w:type="dxa"/>
            <w:shd w:val="clear" w:color="auto" w:fill="auto"/>
            <w:vAlign w:val="center"/>
          </w:tcPr>
          <w:p>
            <w:pPr>
              <w:pStyle w:val="178"/>
              <w:rPr>
                <w:rFonts w:hint="eastAsia"/>
              </w:rPr>
            </w:pPr>
            <w:r>
              <w:rPr>
                <w:rFonts w:hint="eastAsia"/>
              </w:rPr>
              <w:t>81-100%</w:t>
            </w:r>
          </w:p>
        </w:tc>
        <w:tc>
          <w:tcPr>
            <w:tcW w:w="7501" w:type="dxa"/>
            <w:shd w:val="clear" w:color="auto" w:fill="auto"/>
          </w:tcPr>
          <w:p>
            <w:pPr>
              <w:pStyle w:val="178"/>
              <w:rPr>
                <w:rFonts w:hint="eastAsia"/>
              </w:rPr>
            </w:pPr>
            <w:r>
              <w:rPr>
                <w:rFonts w:hint="eastAsia"/>
              </w:rPr>
              <w:t>被评价对象在该项指标上的达成度完全符合预期效果，或相关评价材料完整</w:t>
            </w:r>
          </w:p>
        </w:tc>
      </w:tr>
    </w:tbl>
    <w:p>
      <w:pPr>
        <w:pStyle w:val="56"/>
        <w:ind w:firstLine="420"/>
      </w:pPr>
    </w:p>
    <w:p>
      <w:pPr>
        <w:pStyle w:val="56"/>
        <w:ind w:firstLine="420"/>
      </w:pPr>
    </w:p>
    <w:p>
      <w:pPr>
        <w:pStyle w:val="56"/>
        <w:ind w:firstLine="420"/>
      </w:pPr>
    </w:p>
    <w:bookmarkEnd w:id="45"/>
    <w:p>
      <w:pPr>
        <w:pStyle w:val="56"/>
        <w:ind w:firstLine="420"/>
        <w:rPr>
          <w:rFonts w:hint="eastAsia"/>
        </w:rPr>
      </w:pPr>
    </w:p>
    <w:sectPr>
      <w:pgSz w:w="11906" w:h="16838"/>
      <w:pgMar w:top="1928" w:right="1134" w:bottom="1134" w:left="1134" w:header="1418" w:footer="1134" w:gutter="284"/>
      <w:cols w:space="425" w:num="1"/>
      <w:formProt w:val="0"/>
      <w:docGrid w:linePitch="312" w:charSpace="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5="http://schemas.microsoft.com/office/word/2012/wordml" xmlns:w10="urn:schemas-microsoft-com:office:word"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endnote w:type="separator" w:id="0">
    <w:p>
      <w:pPr>
        <w:spacing w:line="240" w:lineRule="auto"/>
      </w:pPr>
      <w:r>
        <w:separator/>
      </w:r>
    </w:p>
  </w:endnote>
  <w:endnote w:type="continuationSeparator" w:id="1">
    <w:p>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1"/>
    <w:family w:val="auto"/>
    <w:pitch w:val="default"/>
    <w:sig w:usb0="E0002EFF" w:usb1="C000785B" w:usb2="00000009" w:usb3="00000000" w:csb0="400001FF" w:csb1="FFFF0000"/>
  </w:font>
  <w:font w:name="宋体">
    <w:altName w:val="方正书宋_GBK"/>
    <w:panose1 w:val="00000000000000000000"/>
    <w:charset w:val="86"/>
    <w:family w:val="auto"/>
    <w:pitch w:val="default"/>
    <w:sig w:usb0="00000000" w:usb1="00000000" w:usb2="00000000" w:usb3="00000000" w:csb0="00000000" w:csb1="00000000"/>
  </w:font>
  <w:font w:name="Wingdings">
    <w:panose1 w:val="05000000000000000000"/>
    <w:charset w:val="02"/>
    <w:family w:val="auto"/>
    <w:pitch w:val="default"/>
    <w:sig w:usb0="00000000" w:usb1="00000000" w:usb2="00000000" w:usb3="00000000" w:csb0="80000000" w:csb1="00000000"/>
  </w:font>
  <w:font w:name="Arial">
    <w:altName w:val="Times New Roman"/>
    <w:panose1 w:val="020B0604020202020204"/>
    <w:charset w:val="01"/>
    <w:family w:val="swiss"/>
    <w:pitch w:val="default"/>
    <w:sig w:usb0="E0002AFF" w:usb1="C0007843"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altName w:val="DejaVu Sans"/>
    <w:panose1 w:val="02070309020205020404"/>
    <w:charset w:val="01"/>
    <w:family w:val="modern"/>
    <w:pitch w:val="default"/>
    <w:sig w:usb0="E0002A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altName w:val="DejaVu Sans"/>
    <w:panose1 w:val="020F0502020204030204"/>
    <w:charset w:val="00"/>
    <w:family w:val="swiss"/>
    <w:pitch w:val="default"/>
    <w:sig w:usb0="00000000" w:usb1="00000000" w:usb2="00000001" w:usb3="00000000" w:csb0="0000019F" w:csb1="00000000"/>
  </w:font>
  <w:font w:name="等线">
    <w:altName w:val="汉仪中宋简"/>
    <w:panose1 w:val="02010600030101010101"/>
    <w:charset w:val="86"/>
    <w:family w:val="auto"/>
    <w:pitch w:val="default"/>
    <w:sig w:usb0="00000000" w:usb1="00000000" w:usb2="00000016" w:usb3="00000000" w:csb0="0004000F" w:csb1="00000000"/>
  </w:font>
  <w:font w:name="等线 Light">
    <w:altName w:val="汉仪中宋简"/>
    <w:panose1 w:val="02010600030101010101"/>
    <w:charset w:val="86"/>
    <w:family w:val="auto"/>
    <w:pitch w:val="default"/>
    <w:sig w:usb0="00000000" w:usb1="00000000" w:usb2="00000016" w:usb3="00000000" w:csb0="0004000F" w:csb1="00000000"/>
  </w:font>
  <w:font w:name="Cambria Math">
    <w:altName w:val="DejaVu Math TeX Gyre"/>
    <w:panose1 w:val="02040503050406030204"/>
    <w:charset w:val="00"/>
    <w:family w:val="roman"/>
    <w:pitch w:val="default"/>
    <w:sig w:usb0="00000000" w:usb1="00000000" w:usb2="02000000" w:usb3="00000000" w:csb0="0000019F" w:csb1="00000000"/>
  </w:font>
  <w:font w:name="微软雅黑">
    <w:altName w:val="黑体"/>
    <w:panose1 w:val="020B0503020204020204"/>
    <w:charset w:val="86"/>
    <w:family w:val="swiss"/>
    <w:pitch w:val="default"/>
    <w:sig w:usb0="00000000" w:usb1="00000000" w:usb2="00000016" w:usb3="00000000" w:csb0="0004001F" w:csb1="00000000"/>
  </w:font>
  <w:font w:name="方正书宋_GBK">
    <w:panose1 w:val="02000000000000000000"/>
    <w:charset w:val="86"/>
    <w:family w:val="auto"/>
    <w:pitch w:val="default"/>
    <w:sig w:usb0="00000001" w:usb1="08000000" w:usb2="00000000" w:usb3="00000000" w:csb0="00040000" w:csb1="00000000"/>
  </w:font>
  <w:font w:name="DejaVu Sans">
    <w:panose1 w:val="020B0603030804020204"/>
    <w:charset w:val="00"/>
    <w:family w:val="auto"/>
    <w:pitch w:val="default"/>
    <w:sig w:usb0="E7006EFF" w:usb1="D200FDFF" w:usb2="0A246029" w:usb3="0400200C" w:csb0="600001FF" w:csb1="DFFF0000"/>
  </w:font>
  <w:font w:name="DejaVu Math TeX Gyre">
    <w:panose1 w:val="02000503000000000000"/>
    <w:charset w:val="00"/>
    <w:family w:val="auto"/>
    <w:pitch w:val="default"/>
    <w:sig w:usb0="A10000EF" w:usb1="4201F9EE" w:usb2="02000000" w:usb3="00000000" w:csb0="60000193" w:csb1="0DD40000"/>
  </w:font>
  <w:font w:name="Liberation Serif">
    <w:panose1 w:val="02020603050405020304"/>
    <w:charset w:val="00"/>
    <w:family w:val="auto"/>
    <w:pitch w:val="default"/>
    <w:sig w:usb0="A00002AF" w:usb1="500078FB" w:usb2="00000000" w:usb3="00000000" w:csb0="6000009F" w:csb1="DFD70000"/>
  </w:font>
  <w:font w:name="方正宋体S-超大字符集">
    <w:panose1 w:val="02000000000000000000"/>
    <w:charset w:val="86"/>
    <w:family w:val="auto"/>
    <w:pitch w:val="default"/>
    <w:sig w:usb0="00000001" w:usb1="08000000" w:usb2="00000000" w:usb3="00000000" w:csb0="00040000"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17"/>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17"/>
    </w:pPr>
    <w:r>
      <w:fldChar w:fldCharType="begin"/>
    </w:r>
    <w:r>
      <w:instrText xml:space="preserve">PAGE   \* MERGEFORMAT</w:instrText>
    </w:r>
    <w:r>
      <w:fldChar w:fldCharType="separate"/>
    </w:r>
    <w:r>
      <w:rPr>
        <w:lang w:val="zh-CN"/>
      </w:rPr>
      <w:t>2</w:t>
    </w:r>
    <w:r>
      <w:fldChar w:fldCharType="end"/>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17"/>
      <w:ind w:right="720"/>
      <w:jc w:val="both"/>
      <w:rPr>
        <w:sz w:val="2"/>
        <w:szCs w:val="2"/>
      </w:rPr>
    </w:pP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52"/>
    </w:pPr>
    <w:r>
      <w:fldChar w:fldCharType="begin"/>
    </w:r>
    <w:r>
      <w:instrText xml:space="preserve">PAGE   \* MERGEFORMAT</w:instrText>
    </w:r>
    <w:r>
      <w:fldChar w:fldCharType="separate"/>
    </w:r>
    <w:r>
      <w:rPr>
        <w:lang w:val="zh-CN"/>
      </w:rPr>
      <w:t>1</w:t>
    </w:r>
    <w:r>
      <w:fldChar w:fldCharType="end"/>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5="http://schemas.microsoft.com/office/word/2012/wordml" xmlns:w10="urn:schemas-microsoft-com:office:word"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footnote w:type="separator" w:id="0">
    <w:p>
      <w:pPr>
        <w:spacing w:line="240" w:lineRule="auto"/>
      </w:pPr>
      <w:r>
        <w:separator/>
      </w:r>
    </w:p>
  </w:footnote>
  <w:footnote w:type="continuationSeparator" w:id="1">
    <w:p>
      <w:pPr>
        <w:spacing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18"/>
      <w:wordWrap w:val="0"/>
      <w:jc w:val="right"/>
      <w:rPr>
        <w:rFonts w:hint="eastAsia" w:ascii="黑体" w:hAnsi="黑体" w:eastAsia="黑体"/>
      </w:rPr>
    </w:pPr>
    <w:r>
      <w:rPr>
        <w:rFonts w:ascii="黑体" w:hAnsi="黑体" w:eastAsia="黑体"/>
      </w:rPr>
      <w:t>Q/LB.</w:t>
    </w:r>
    <w:r>
      <w:rPr>
        <w:rFonts w:hint="eastAsia" w:ascii="黑体" w:hAnsi="黑体" w:eastAsia="黑体"/>
      </w:rPr>
      <w:t>□</w:t>
    </w:r>
    <w:r>
      <w:rPr>
        <w:rFonts w:ascii="黑体" w:hAnsi="黑体" w:eastAsia="黑体"/>
      </w:rPr>
      <w:t>XXXXX-XXXX</w: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18"/>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18"/>
      <w:jc w:val="both"/>
      <w:rPr>
        <w:sz w:val="2"/>
        <w:szCs w:val="2"/>
      </w:rPr>
    </w:pPr>
  </w:p>
</w:hdr>
</file>

<file path=word/header4.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61"/>
      <w:rPr>
        <w:rFonts w:hint="eastAsia"/>
      </w:rPr>
    </w:pPr>
    <w:r>
      <w:fldChar w:fldCharType="begin"/>
    </w:r>
    <w:r>
      <w:instrText xml:space="preserve"> STYLEREF  标准文件_文件编号  \* MERGEFORMAT </w:instrText>
    </w:r>
    <w:r>
      <w:fldChar w:fldCharType="separate"/>
    </w:r>
    <w:r>
      <w:t>MR/T XXXXX—XXXX</w:t>
    </w:r>
    <w:r>
      <w:fldChar w:fldCharType="end"/>
    </w:r>
  </w:p>
</w:hdr>
</file>

<file path=word/header5.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18"/>
      <w:jc w:val="right"/>
    </w:pPr>
    <w:r>
      <w:fldChar w:fldCharType="begin"/>
    </w:r>
    <w:r>
      <w:instrText xml:space="preserve"> STYLEREF  标准文件_文件编号  \* MERGEFORMAT </w:instrText>
    </w:r>
    <w:r>
      <w:fldChar w:fldCharType="separate"/>
    </w:r>
    <w:r>
      <w:t>MR/T XXXXX—XXXX</w:t>
    </w:r>
    <w:r>
      <w:fldChar w:fldCharType="end"/>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02837933"/>
    <w:multiLevelType w:val="multilevel"/>
    <w:tmpl w:val="02837933"/>
    <w:lvl w:ilvl="0" w:tentative="0">
      <w:start w:val="1"/>
      <w:numFmt w:val="decimal"/>
      <w:pStyle w:val="64"/>
      <w:lvlText w:val="[%1]"/>
      <w:lvlJc w:val="left"/>
      <w:pPr>
        <w:tabs>
          <w:tab w:val="left" w:pos="1646"/>
        </w:tabs>
        <w:ind w:left="1646" w:hanging="648"/>
      </w:pPr>
    </w:lvl>
    <w:lvl w:ilvl="1" w:tentative="0">
      <w:start w:val="1"/>
      <w:numFmt w:val="lowerLetter"/>
      <w:lvlText w:val="%2)"/>
      <w:lvlJc w:val="left"/>
      <w:pPr>
        <w:tabs>
          <w:tab w:val="left" w:pos="1838"/>
        </w:tabs>
        <w:ind w:left="1838" w:hanging="420"/>
      </w:pPr>
    </w:lvl>
    <w:lvl w:ilvl="2" w:tentative="0">
      <w:start w:val="1"/>
      <w:numFmt w:val="lowerRoman"/>
      <w:lvlText w:val="%3."/>
      <w:lvlJc w:val="right"/>
      <w:pPr>
        <w:tabs>
          <w:tab w:val="left" w:pos="2258"/>
        </w:tabs>
        <w:ind w:left="2258" w:hanging="420"/>
      </w:pPr>
    </w:lvl>
    <w:lvl w:ilvl="3" w:tentative="0">
      <w:start w:val="1"/>
      <w:numFmt w:val="decimal"/>
      <w:lvlText w:val="%4."/>
      <w:lvlJc w:val="left"/>
      <w:pPr>
        <w:tabs>
          <w:tab w:val="left" w:pos="2678"/>
        </w:tabs>
        <w:ind w:left="2678" w:hanging="420"/>
      </w:pPr>
    </w:lvl>
    <w:lvl w:ilvl="4" w:tentative="0">
      <w:start w:val="1"/>
      <w:numFmt w:val="lowerLetter"/>
      <w:lvlText w:val="%5)"/>
      <w:lvlJc w:val="left"/>
      <w:pPr>
        <w:tabs>
          <w:tab w:val="left" w:pos="3098"/>
        </w:tabs>
        <w:ind w:left="3098" w:hanging="420"/>
      </w:pPr>
    </w:lvl>
    <w:lvl w:ilvl="5" w:tentative="0">
      <w:start w:val="1"/>
      <w:numFmt w:val="lowerRoman"/>
      <w:lvlText w:val="%6."/>
      <w:lvlJc w:val="right"/>
      <w:pPr>
        <w:tabs>
          <w:tab w:val="left" w:pos="3518"/>
        </w:tabs>
        <w:ind w:left="3518" w:hanging="420"/>
      </w:pPr>
    </w:lvl>
    <w:lvl w:ilvl="6" w:tentative="0">
      <w:start w:val="1"/>
      <w:numFmt w:val="decimal"/>
      <w:lvlText w:val="%7."/>
      <w:lvlJc w:val="left"/>
      <w:pPr>
        <w:tabs>
          <w:tab w:val="left" w:pos="3938"/>
        </w:tabs>
        <w:ind w:left="3938" w:hanging="420"/>
      </w:pPr>
    </w:lvl>
    <w:lvl w:ilvl="7" w:tentative="0">
      <w:start w:val="1"/>
      <w:numFmt w:val="lowerLetter"/>
      <w:lvlText w:val="%8)"/>
      <w:lvlJc w:val="left"/>
      <w:pPr>
        <w:tabs>
          <w:tab w:val="left" w:pos="4358"/>
        </w:tabs>
        <w:ind w:left="4358" w:hanging="420"/>
      </w:pPr>
    </w:lvl>
    <w:lvl w:ilvl="8" w:tentative="0">
      <w:start w:val="1"/>
      <w:numFmt w:val="lowerRoman"/>
      <w:lvlText w:val="%9."/>
      <w:lvlJc w:val="right"/>
      <w:pPr>
        <w:tabs>
          <w:tab w:val="left" w:pos="4778"/>
        </w:tabs>
        <w:ind w:left="4778" w:hanging="420"/>
      </w:pPr>
    </w:lvl>
  </w:abstractNum>
  <w:abstractNum w:abstractNumId="1">
    <w:nsid w:val="040A15CD"/>
    <w:multiLevelType w:val="multilevel"/>
    <w:tmpl w:val="040A15CD"/>
    <w:lvl w:ilvl="0" w:tentative="0">
      <w:start w:val="1"/>
      <w:numFmt w:val="none"/>
      <w:suff w:val="nothing"/>
      <w:lvlText w:val="　"/>
      <w:lvlJc w:val="left"/>
      <w:pPr>
        <w:ind w:left="0" w:firstLine="0"/>
      </w:pPr>
    </w:lvl>
    <w:lvl w:ilvl="1" w:tentative="0">
      <w:start w:val="1"/>
      <w:numFmt w:val="decimal"/>
      <w:isLgl/>
      <w:suff w:val="nothing"/>
      <w:lvlText w:val="%2　"/>
      <w:lvlJc w:val="left"/>
      <w:pPr>
        <w:ind w:left="0" w:firstLine="0"/>
      </w:pPr>
    </w:lvl>
    <w:lvl w:ilvl="2" w:tentative="0">
      <w:start w:val="1"/>
      <w:numFmt w:val="decimal"/>
      <w:pStyle w:val="159"/>
      <w:suff w:val="nothing"/>
      <w:lvlText w:val="%1%2.%3　"/>
      <w:lvlJc w:val="left"/>
      <w:pPr>
        <w:ind w:left="0" w:firstLine="0"/>
      </w:pPr>
    </w:lvl>
    <w:lvl w:ilvl="3" w:tentative="0">
      <w:start w:val="1"/>
      <w:numFmt w:val="decimal"/>
      <w:pStyle w:val="118"/>
      <w:suff w:val="nothing"/>
      <w:lvlText w:val="%1%2.%3.%4　"/>
      <w:lvlJc w:val="left"/>
      <w:pPr>
        <w:ind w:left="0" w:firstLine="0"/>
      </w:pPr>
    </w:lvl>
    <w:lvl w:ilvl="4" w:tentative="0">
      <w:start w:val="1"/>
      <w:numFmt w:val="decimal"/>
      <w:pStyle w:val="153"/>
      <w:suff w:val="nothing"/>
      <w:lvlText w:val="%1%2.%3.%4.%5　"/>
      <w:lvlJc w:val="left"/>
      <w:pPr>
        <w:ind w:left="0" w:firstLine="0"/>
      </w:pPr>
    </w:lvl>
    <w:lvl w:ilvl="5" w:tentative="0">
      <w:start w:val="1"/>
      <w:numFmt w:val="decimal"/>
      <w:pStyle w:val="155"/>
      <w:suff w:val="nothing"/>
      <w:lvlText w:val="%1%2.%3.%4.%5.%6　"/>
      <w:lvlJc w:val="left"/>
      <w:pPr>
        <w:ind w:left="0" w:firstLine="0"/>
      </w:pPr>
    </w:lvl>
    <w:lvl w:ilvl="6" w:tentative="0">
      <w:start w:val="1"/>
      <w:numFmt w:val="decimal"/>
      <w:pStyle w:val="158"/>
      <w:suff w:val="nothing"/>
      <w:lvlText w:val="%1%2.%3.%4.%5.%6.%7　"/>
      <w:lvlJc w:val="left"/>
      <w:pPr>
        <w:ind w:left="0" w:firstLine="0"/>
      </w:pPr>
    </w:lvl>
    <w:lvl w:ilvl="7" w:tentative="0">
      <w:start w:val="1"/>
      <w:numFmt w:val="decimal"/>
      <w:lvlText w:val="%1.%2.%3.%4.%5.%6.%7.%8"/>
      <w:lvlJc w:val="left"/>
      <w:pPr>
        <w:tabs>
          <w:tab w:val="left" w:pos="4394"/>
        </w:tabs>
        <w:ind w:left="4394" w:hanging="1418"/>
      </w:pPr>
    </w:lvl>
    <w:lvl w:ilvl="8" w:tentative="0">
      <w:start w:val="1"/>
      <w:numFmt w:val="decimal"/>
      <w:lvlText w:val="%1.%2.%3.%4.%5.%6.%7.%8.%9"/>
      <w:lvlJc w:val="left"/>
      <w:pPr>
        <w:tabs>
          <w:tab w:val="left" w:pos="5102"/>
        </w:tabs>
        <w:ind w:left="5102" w:hanging="1700"/>
      </w:pPr>
    </w:lvl>
  </w:abstractNum>
  <w:abstractNum w:abstractNumId="2">
    <w:nsid w:val="079102AD"/>
    <w:multiLevelType w:val="multilevel"/>
    <w:tmpl w:val="079102AD"/>
    <w:lvl w:ilvl="0" w:tentative="0">
      <w:start w:val="1"/>
      <w:numFmt w:val="decimal"/>
      <w:pStyle w:val="180"/>
      <w:suff w:val="nothing"/>
      <w:lvlText w:val="注%1："/>
      <w:lvlJc w:val="left"/>
      <w:pPr>
        <w:ind w:left="811" w:hanging="448"/>
      </w:pPr>
      <w:rPr>
        <w:rFonts w:hint="eastAsia" w:ascii="黑体" w:eastAsia="黑体"/>
        <w:b w:val="0"/>
        <w:i w:val="0"/>
        <w:sz w:val="18"/>
      </w:rPr>
    </w:lvl>
    <w:lvl w:ilvl="1" w:tentative="0">
      <w:start w:val="1"/>
      <w:numFmt w:val="lowerLetter"/>
      <w:lvlText w:val="%2)"/>
      <w:lvlJc w:val="left"/>
      <w:pPr>
        <w:tabs>
          <w:tab w:val="left" w:pos="0"/>
        </w:tabs>
        <w:ind w:left="992" w:hanging="629"/>
      </w:pPr>
      <w:rPr>
        <w:rFonts w:hint="eastAsia"/>
      </w:rPr>
    </w:lvl>
    <w:lvl w:ilvl="2" w:tentative="0">
      <w:start w:val="1"/>
      <w:numFmt w:val="lowerRoman"/>
      <w:lvlText w:val="%3."/>
      <w:lvlJc w:val="right"/>
      <w:pPr>
        <w:tabs>
          <w:tab w:val="left" w:pos="0"/>
        </w:tabs>
        <w:ind w:left="992" w:hanging="629"/>
      </w:pPr>
      <w:rPr>
        <w:rFonts w:hint="eastAsia"/>
      </w:rPr>
    </w:lvl>
    <w:lvl w:ilvl="3" w:tentative="0">
      <w:start w:val="1"/>
      <w:numFmt w:val="decimal"/>
      <w:lvlText w:val="%4."/>
      <w:lvlJc w:val="left"/>
      <w:pPr>
        <w:tabs>
          <w:tab w:val="left" w:pos="0"/>
        </w:tabs>
        <w:ind w:left="992" w:hanging="629"/>
      </w:pPr>
      <w:rPr>
        <w:rFonts w:hint="eastAsia"/>
      </w:rPr>
    </w:lvl>
    <w:lvl w:ilvl="4" w:tentative="0">
      <w:start w:val="1"/>
      <w:numFmt w:val="lowerLetter"/>
      <w:lvlText w:val="%5)"/>
      <w:lvlJc w:val="left"/>
      <w:pPr>
        <w:tabs>
          <w:tab w:val="left" w:pos="0"/>
        </w:tabs>
        <w:ind w:left="992" w:hanging="629"/>
      </w:pPr>
      <w:rPr>
        <w:rFonts w:hint="eastAsia"/>
      </w:rPr>
    </w:lvl>
    <w:lvl w:ilvl="5" w:tentative="0">
      <w:start w:val="1"/>
      <w:numFmt w:val="lowerRoman"/>
      <w:lvlText w:val="%6."/>
      <w:lvlJc w:val="right"/>
      <w:pPr>
        <w:tabs>
          <w:tab w:val="left" w:pos="0"/>
        </w:tabs>
        <w:ind w:left="992" w:hanging="629"/>
      </w:pPr>
      <w:rPr>
        <w:rFonts w:hint="eastAsia"/>
      </w:rPr>
    </w:lvl>
    <w:lvl w:ilvl="6" w:tentative="0">
      <w:start w:val="1"/>
      <w:numFmt w:val="decimal"/>
      <w:lvlText w:val="%7."/>
      <w:lvlJc w:val="left"/>
      <w:pPr>
        <w:tabs>
          <w:tab w:val="left" w:pos="0"/>
        </w:tabs>
        <w:ind w:left="992" w:hanging="629"/>
      </w:pPr>
      <w:rPr>
        <w:rFonts w:hint="eastAsia"/>
      </w:rPr>
    </w:lvl>
    <w:lvl w:ilvl="7" w:tentative="0">
      <w:start w:val="1"/>
      <w:numFmt w:val="lowerLetter"/>
      <w:lvlText w:val="%8)"/>
      <w:lvlJc w:val="left"/>
      <w:pPr>
        <w:tabs>
          <w:tab w:val="left" w:pos="0"/>
        </w:tabs>
        <w:ind w:left="992" w:hanging="629"/>
      </w:pPr>
      <w:rPr>
        <w:rFonts w:hint="eastAsia"/>
      </w:rPr>
    </w:lvl>
    <w:lvl w:ilvl="8" w:tentative="0">
      <w:start w:val="1"/>
      <w:numFmt w:val="lowerRoman"/>
      <w:lvlText w:val="%9."/>
      <w:lvlJc w:val="right"/>
      <w:pPr>
        <w:tabs>
          <w:tab w:val="left" w:pos="0"/>
        </w:tabs>
        <w:ind w:left="992" w:hanging="629"/>
      </w:pPr>
      <w:rPr>
        <w:rFonts w:hint="eastAsia"/>
      </w:rPr>
    </w:lvl>
  </w:abstractNum>
  <w:abstractNum w:abstractNumId="3">
    <w:nsid w:val="07ED3FEA"/>
    <w:multiLevelType w:val="multilevel"/>
    <w:tmpl w:val="07ED3FEA"/>
    <w:lvl w:ilvl="0" w:tentative="0">
      <w:start w:val="1"/>
      <w:numFmt w:val="none"/>
      <w:pStyle w:val="89"/>
      <w:lvlText w:val="%1"/>
      <w:lvlJc w:val="left"/>
      <w:pPr>
        <w:ind w:left="425" w:hanging="425"/>
      </w:pPr>
      <w:rPr>
        <w:rFonts w:hint="eastAsia"/>
      </w:rPr>
    </w:lvl>
    <w:lvl w:ilvl="1" w:tentative="0">
      <w:start w:val="1"/>
      <w:numFmt w:val="decimal"/>
      <w:pStyle w:val="200"/>
      <w:suff w:val="nothing"/>
      <w:lvlText w:val="%10.%2 "/>
      <w:lvlJc w:val="left"/>
      <w:pPr>
        <w:ind w:left="0" w:firstLine="0"/>
      </w:pPr>
      <w:rPr>
        <w:rFonts w:hint="eastAsia" w:ascii="黑体" w:eastAsia="黑体" w:hAnsiTheme="minorHAnsi"/>
        <w:b w:val="0"/>
        <w:i w:val="0"/>
        <w:sz w:val="21"/>
      </w:rPr>
    </w:lvl>
    <w:lvl w:ilvl="2" w:tentative="0">
      <w:start w:val="1"/>
      <w:numFmt w:val="decimal"/>
      <w:pStyle w:val="201"/>
      <w:suff w:val="nothing"/>
      <w:lvlText w:val="%10.%2.%3 "/>
      <w:lvlJc w:val="left"/>
      <w:pPr>
        <w:ind w:left="0" w:firstLine="0"/>
      </w:pPr>
      <w:rPr>
        <w:rFonts w:hint="eastAsia" w:ascii="黑体" w:eastAsia="黑体" w:hAnsiTheme="minorHAnsi"/>
        <w:b w:val="0"/>
        <w:i w:val="0"/>
        <w:sz w:val="21"/>
      </w:rPr>
    </w:lvl>
    <w:lvl w:ilvl="3" w:tentative="0">
      <w:start w:val="1"/>
      <w:numFmt w:val="decimal"/>
      <w:pStyle w:val="202"/>
      <w:suff w:val="nothing"/>
      <w:lvlText w:val="%10.%2.%3.%4 "/>
      <w:lvlJc w:val="left"/>
      <w:pPr>
        <w:ind w:left="0" w:firstLine="0"/>
      </w:pPr>
      <w:rPr>
        <w:rFonts w:hint="eastAsia" w:ascii="黑体" w:eastAsia="黑体" w:hAnsiTheme="minorHAnsi"/>
        <w:b w:val="0"/>
        <w:i w:val="0"/>
        <w:sz w:val="21"/>
      </w:rPr>
    </w:lvl>
    <w:lvl w:ilvl="4" w:tentative="0">
      <w:start w:val="1"/>
      <w:numFmt w:val="decimal"/>
      <w:pStyle w:val="203"/>
      <w:suff w:val="nothing"/>
      <w:lvlText w:val="%10.%2.%3.%4.%5 "/>
      <w:lvlJc w:val="left"/>
      <w:pPr>
        <w:ind w:left="0" w:firstLine="0"/>
      </w:pPr>
      <w:rPr>
        <w:rFonts w:hint="eastAsia" w:ascii="黑体" w:eastAsia="黑体" w:hAnsiTheme="minorHAnsi"/>
        <w:b w:val="0"/>
        <w:i w:val="0"/>
        <w:sz w:val="21"/>
      </w:rPr>
    </w:lvl>
    <w:lvl w:ilvl="5" w:tentative="0">
      <w:start w:val="1"/>
      <w:numFmt w:val="decimal"/>
      <w:pStyle w:val="204"/>
      <w:suff w:val="nothing"/>
      <w:lvlText w:val="%10.%2.%3.%4.%5.%6 "/>
      <w:lvlJc w:val="left"/>
      <w:pPr>
        <w:ind w:left="0" w:firstLine="0"/>
      </w:pPr>
      <w:rPr>
        <w:rFonts w:hint="eastAsia" w:ascii="黑体" w:eastAsia="黑体" w:hAnsiTheme="minorHAnsi"/>
        <w:b w:val="0"/>
        <w:i w:val="0"/>
        <w:sz w:val="21"/>
      </w:rPr>
    </w:lvl>
    <w:lvl w:ilvl="6" w:tentative="0">
      <w:start w:val="1"/>
      <w:numFmt w:val="decimal"/>
      <w:lvlText w:val="%1.%2.%3.%4.%5.%6.%7"/>
      <w:lvlJc w:val="left"/>
      <w:pPr>
        <w:ind w:left="3827" w:hanging="1276"/>
      </w:pPr>
      <w:rPr>
        <w:rFonts w:hint="eastAsia"/>
      </w:rPr>
    </w:lvl>
    <w:lvl w:ilvl="7" w:tentative="0">
      <w:start w:val="1"/>
      <w:numFmt w:val="decimal"/>
      <w:lvlText w:val="%1.%2.%3.%4.%5.%6.%7.%8"/>
      <w:lvlJc w:val="left"/>
      <w:pPr>
        <w:ind w:left="4394" w:hanging="1418"/>
      </w:pPr>
      <w:rPr>
        <w:rFonts w:hint="eastAsia"/>
      </w:rPr>
    </w:lvl>
    <w:lvl w:ilvl="8" w:tentative="0">
      <w:start w:val="1"/>
      <w:numFmt w:val="decimal"/>
      <w:lvlText w:val="%1.%2.%3.%4.%5.%6.%7.%8.%9"/>
      <w:lvlJc w:val="left"/>
      <w:pPr>
        <w:ind w:left="5102" w:hanging="1700"/>
      </w:pPr>
      <w:rPr>
        <w:rFonts w:hint="eastAsia"/>
      </w:rPr>
    </w:lvl>
  </w:abstractNum>
  <w:abstractNum w:abstractNumId="4">
    <w:nsid w:val="0AE367E9"/>
    <w:multiLevelType w:val="multilevel"/>
    <w:tmpl w:val="0AE367E9"/>
    <w:lvl w:ilvl="0" w:tentative="0">
      <w:start w:val="1"/>
      <w:numFmt w:val="none"/>
      <w:pStyle w:val="181"/>
      <w:suff w:val="nothing"/>
      <w:lvlText w:val="%1示例："/>
      <w:lvlJc w:val="left"/>
      <w:pPr>
        <w:ind w:left="0" w:firstLine="363"/>
      </w:pPr>
      <w:rPr>
        <w:rFonts w:hint="eastAsia" w:ascii="黑体" w:eastAsia="黑体"/>
        <w:b w:val="0"/>
        <w:i w:val="0"/>
        <w:sz w:val="18"/>
      </w:rPr>
    </w:lvl>
    <w:lvl w:ilvl="1" w:tentative="0">
      <w:start w:val="1"/>
      <w:numFmt w:val="lowerLetter"/>
      <w:lvlText w:val="%2)"/>
      <w:lvlJc w:val="left"/>
      <w:pPr>
        <w:tabs>
          <w:tab w:val="left" w:pos="363"/>
        </w:tabs>
        <w:ind w:left="0" w:firstLine="363"/>
      </w:pPr>
      <w:rPr>
        <w:rFonts w:hint="eastAsia"/>
      </w:rPr>
    </w:lvl>
    <w:lvl w:ilvl="2" w:tentative="0">
      <w:start w:val="1"/>
      <w:numFmt w:val="lowerRoman"/>
      <w:lvlText w:val="%3."/>
      <w:lvlJc w:val="right"/>
      <w:pPr>
        <w:tabs>
          <w:tab w:val="left" w:pos="363"/>
        </w:tabs>
        <w:ind w:left="0" w:firstLine="363"/>
      </w:pPr>
      <w:rPr>
        <w:rFonts w:hint="eastAsia"/>
      </w:rPr>
    </w:lvl>
    <w:lvl w:ilvl="3" w:tentative="0">
      <w:start w:val="1"/>
      <w:numFmt w:val="decimal"/>
      <w:lvlText w:val="%4."/>
      <w:lvlJc w:val="left"/>
      <w:pPr>
        <w:tabs>
          <w:tab w:val="left" w:pos="363"/>
        </w:tabs>
        <w:ind w:left="0" w:firstLine="363"/>
      </w:pPr>
      <w:rPr>
        <w:rFonts w:hint="eastAsia"/>
      </w:rPr>
    </w:lvl>
    <w:lvl w:ilvl="4" w:tentative="0">
      <w:start w:val="1"/>
      <w:numFmt w:val="lowerLetter"/>
      <w:lvlText w:val="%5)"/>
      <w:lvlJc w:val="left"/>
      <w:pPr>
        <w:tabs>
          <w:tab w:val="left" w:pos="363"/>
        </w:tabs>
        <w:ind w:left="0" w:firstLine="363"/>
      </w:pPr>
      <w:rPr>
        <w:rFonts w:hint="eastAsia"/>
      </w:rPr>
    </w:lvl>
    <w:lvl w:ilvl="5" w:tentative="0">
      <w:start w:val="1"/>
      <w:numFmt w:val="lowerRoman"/>
      <w:lvlText w:val="%6."/>
      <w:lvlJc w:val="right"/>
      <w:pPr>
        <w:tabs>
          <w:tab w:val="left" w:pos="363"/>
        </w:tabs>
        <w:ind w:left="0" w:firstLine="363"/>
      </w:pPr>
      <w:rPr>
        <w:rFonts w:hint="eastAsia"/>
      </w:rPr>
    </w:lvl>
    <w:lvl w:ilvl="6" w:tentative="0">
      <w:start w:val="1"/>
      <w:numFmt w:val="decimal"/>
      <w:lvlText w:val="%7."/>
      <w:lvlJc w:val="left"/>
      <w:pPr>
        <w:tabs>
          <w:tab w:val="left" w:pos="363"/>
        </w:tabs>
        <w:ind w:left="0" w:firstLine="363"/>
      </w:pPr>
      <w:rPr>
        <w:rFonts w:hint="eastAsia"/>
      </w:rPr>
    </w:lvl>
    <w:lvl w:ilvl="7" w:tentative="0">
      <w:start w:val="1"/>
      <w:numFmt w:val="lowerLetter"/>
      <w:lvlText w:val="%8)"/>
      <w:lvlJc w:val="left"/>
      <w:pPr>
        <w:tabs>
          <w:tab w:val="left" w:pos="363"/>
        </w:tabs>
        <w:ind w:left="0" w:firstLine="363"/>
      </w:pPr>
      <w:rPr>
        <w:rFonts w:hint="eastAsia"/>
      </w:rPr>
    </w:lvl>
    <w:lvl w:ilvl="8" w:tentative="0">
      <w:start w:val="1"/>
      <w:numFmt w:val="lowerRoman"/>
      <w:lvlText w:val="%9."/>
      <w:lvlJc w:val="right"/>
      <w:pPr>
        <w:tabs>
          <w:tab w:val="left" w:pos="363"/>
        </w:tabs>
        <w:ind w:left="0" w:firstLine="363"/>
      </w:pPr>
      <w:rPr>
        <w:rFonts w:hint="eastAsia"/>
      </w:rPr>
    </w:lvl>
  </w:abstractNum>
  <w:abstractNum w:abstractNumId="5">
    <w:nsid w:val="0BDC1670"/>
    <w:multiLevelType w:val="multilevel"/>
    <w:tmpl w:val="0BDC1670"/>
    <w:lvl w:ilvl="0" w:tentative="0">
      <w:start w:val="1"/>
      <w:numFmt w:val="decimal"/>
      <w:pStyle w:val="67"/>
      <w:lvlText w:val="[%1]"/>
      <w:lvlJc w:val="left"/>
      <w:pPr>
        <w:ind w:left="823" w:hanging="420"/>
      </w:pPr>
    </w:lvl>
    <w:lvl w:ilvl="1" w:tentative="0">
      <w:start w:val="1"/>
      <w:numFmt w:val="lowerLetter"/>
      <w:lvlText w:val="%2)"/>
      <w:lvlJc w:val="left"/>
      <w:pPr>
        <w:tabs>
          <w:tab w:val="left" w:pos="840"/>
        </w:tabs>
        <w:ind w:left="840" w:hanging="420"/>
      </w:pPr>
    </w:lvl>
    <w:lvl w:ilvl="2" w:tentative="0">
      <w:start w:val="1"/>
      <w:numFmt w:val="lowerRoman"/>
      <w:lvlText w:val="%3."/>
      <w:lvlJc w:val="right"/>
      <w:pPr>
        <w:tabs>
          <w:tab w:val="left" w:pos="1260"/>
        </w:tabs>
        <w:ind w:left="1260" w:hanging="420"/>
      </w:pPr>
    </w:lvl>
    <w:lvl w:ilvl="3" w:tentative="0">
      <w:start w:val="1"/>
      <w:numFmt w:val="decimal"/>
      <w:lvlText w:val="%4."/>
      <w:lvlJc w:val="left"/>
      <w:pPr>
        <w:tabs>
          <w:tab w:val="left" w:pos="1680"/>
        </w:tabs>
        <w:ind w:left="1680" w:hanging="420"/>
      </w:pPr>
    </w:lvl>
    <w:lvl w:ilvl="4" w:tentative="0">
      <w:start w:val="1"/>
      <w:numFmt w:val="lowerLetter"/>
      <w:lvlText w:val="%5)"/>
      <w:lvlJc w:val="left"/>
      <w:pPr>
        <w:tabs>
          <w:tab w:val="left" w:pos="2100"/>
        </w:tabs>
        <w:ind w:left="2100" w:hanging="420"/>
      </w:pPr>
    </w:lvl>
    <w:lvl w:ilvl="5" w:tentative="0">
      <w:start w:val="1"/>
      <w:numFmt w:val="lowerRoman"/>
      <w:lvlText w:val="%6."/>
      <w:lvlJc w:val="right"/>
      <w:pPr>
        <w:tabs>
          <w:tab w:val="left" w:pos="2520"/>
        </w:tabs>
        <w:ind w:left="2520" w:hanging="420"/>
      </w:pPr>
    </w:lvl>
    <w:lvl w:ilvl="6" w:tentative="0">
      <w:start w:val="1"/>
      <w:numFmt w:val="decimal"/>
      <w:lvlText w:val="%7."/>
      <w:lvlJc w:val="left"/>
      <w:pPr>
        <w:tabs>
          <w:tab w:val="left" w:pos="2940"/>
        </w:tabs>
        <w:ind w:left="2940" w:hanging="420"/>
      </w:pPr>
    </w:lvl>
    <w:lvl w:ilvl="7" w:tentative="0">
      <w:start w:val="1"/>
      <w:numFmt w:val="lowerLetter"/>
      <w:lvlText w:val="%8)"/>
      <w:lvlJc w:val="left"/>
      <w:pPr>
        <w:tabs>
          <w:tab w:val="left" w:pos="3360"/>
        </w:tabs>
        <w:ind w:left="3360" w:hanging="420"/>
      </w:pPr>
    </w:lvl>
    <w:lvl w:ilvl="8" w:tentative="0">
      <w:start w:val="1"/>
      <w:numFmt w:val="lowerRoman"/>
      <w:lvlText w:val="%9."/>
      <w:lvlJc w:val="right"/>
      <w:pPr>
        <w:tabs>
          <w:tab w:val="left" w:pos="3780"/>
        </w:tabs>
        <w:ind w:left="3780" w:hanging="420"/>
      </w:pPr>
    </w:lvl>
  </w:abstractNum>
  <w:abstractNum w:abstractNumId="6">
    <w:nsid w:val="0D051F45"/>
    <w:multiLevelType w:val="multilevel"/>
    <w:tmpl w:val="0D051F45"/>
    <w:lvl w:ilvl="0" w:tentative="0">
      <w:start w:val="1"/>
      <w:numFmt w:val="lowerRoman"/>
      <w:pStyle w:val="169"/>
      <w:lvlText w:val="%1)"/>
      <w:lvlJc w:val="left"/>
      <w:pPr>
        <w:tabs>
          <w:tab w:val="left" w:pos="851"/>
        </w:tabs>
        <w:ind w:left="851" w:hanging="426"/>
      </w:pPr>
      <w:rPr>
        <w:rFonts w:hint="eastAsia" w:ascii="宋体" w:hAnsi="Times New Roman" w:eastAsia="宋体"/>
        <w:sz w:val="21"/>
      </w:rPr>
    </w:lvl>
    <w:lvl w:ilvl="1" w:tentative="0">
      <w:start w:val="1"/>
      <w:numFmt w:val="lowerLetter"/>
      <w:lvlText w:val="%2)"/>
      <w:lvlJc w:val="left"/>
      <w:pPr>
        <w:tabs>
          <w:tab w:val="left" w:pos="1543"/>
        </w:tabs>
        <w:ind w:left="1543" w:hanging="420"/>
      </w:pPr>
      <w:rPr>
        <w:rFonts w:hint="eastAsia"/>
      </w:rPr>
    </w:lvl>
    <w:lvl w:ilvl="2" w:tentative="0">
      <w:start w:val="1"/>
      <w:numFmt w:val="lowerRoman"/>
      <w:lvlText w:val="%3."/>
      <w:lvlJc w:val="right"/>
      <w:pPr>
        <w:tabs>
          <w:tab w:val="left" w:pos="1963"/>
        </w:tabs>
        <w:ind w:left="1963" w:hanging="420"/>
      </w:pPr>
      <w:rPr>
        <w:rFonts w:hint="eastAsia"/>
      </w:rPr>
    </w:lvl>
    <w:lvl w:ilvl="3" w:tentative="0">
      <w:start w:val="1"/>
      <w:numFmt w:val="decimal"/>
      <w:lvlText w:val="%4."/>
      <w:lvlJc w:val="left"/>
      <w:pPr>
        <w:tabs>
          <w:tab w:val="left" w:pos="2383"/>
        </w:tabs>
        <w:ind w:left="2383" w:hanging="420"/>
      </w:pPr>
      <w:rPr>
        <w:rFonts w:hint="eastAsia"/>
      </w:rPr>
    </w:lvl>
    <w:lvl w:ilvl="4" w:tentative="0">
      <w:start w:val="1"/>
      <w:numFmt w:val="lowerLetter"/>
      <w:lvlText w:val="%5)"/>
      <w:lvlJc w:val="left"/>
      <w:pPr>
        <w:tabs>
          <w:tab w:val="left" w:pos="2803"/>
        </w:tabs>
        <w:ind w:left="2803" w:hanging="420"/>
      </w:pPr>
      <w:rPr>
        <w:rFonts w:hint="eastAsia"/>
      </w:rPr>
    </w:lvl>
    <w:lvl w:ilvl="5" w:tentative="0">
      <w:start w:val="1"/>
      <w:numFmt w:val="lowerRoman"/>
      <w:lvlText w:val="%6."/>
      <w:lvlJc w:val="right"/>
      <w:pPr>
        <w:tabs>
          <w:tab w:val="left" w:pos="3223"/>
        </w:tabs>
        <w:ind w:left="3223" w:hanging="420"/>
      </w:pPr>
      <w:rPr>
        <w:rFonts w:hint="eastAsia"/>
      </w:rPr>
    </w:lvl>
    <w:lvl w:ilvl="6" w:tentative="0">
      <w:start w:val="1"/>
      <w:numFmt w:val="decimal"/>
      <w:lvlText w:val="%7."/>
      <w:lvlJc w:val="left"/>
      <w:pPr>
        <w:tabs>
          <w:tab w:val="left" w:pos="3643"/>
        </w:tabs>
        <w:ind w:left="3643" w:hanging="420"/>
      </w:pPr>
      <w:rPr>
        <w:rFonts w:hint="eastAsia"/>
      </w:rPr>
    </w:lvl>
    <w:lvl w:ilvl="7" w:tentative="0">
      <w:start w:val="1"/>
      <w:numFmt w:val="lowerLetter"/>
      <w:lvlText w:val="%8)"/>
      <w:lvlJc w:val="left"/>
      <w:pPr>
        <w:tabs>
          <w:tab w:val="left" w:pos="4063"/>
        </w:tabs>
        <w:ind w:left="4063" w:hanging="420"/>
      </w:pPr>
      <w:rPr>
        <w:rFonts w:hint="eastAsia"/>
      </w:rPr>
    </w:lvl>
    <w:lvl w:ilvl="8" w:tentative="0">
      <w:start w:val="1"/>
      <w:numFmt w:val="lowerRoman"/>
      <w:lvlText w:val="%9."/>
      <w:lvlJc w:val="right"/>
      <w:pPr>
        <w:tabs>
          <w:tab w:val="left" w:pos="4483"/>
        </w:tabs>
        <w:ind w:left="4483" w:hanging="420"/>
      </w:pPr>
      <w:rPr>
        <w:rFonts w:hint="eastAsia"/>
      </w:rPr>
    </w:lvl>
  </w:abstractNum>
  <w:abstractNum w:abstractNumId="7">
    <w:nsid w:val="1AD20F90"/>
    <w:multiLevelType w:val="multilevel"/>
    <w:tmpl w:val="1AD20F90"/>
    <w:lvl w:ilvl="0" w:tentative="0">
      <w:start w:val="1"/>
      <w:numFmt w:val="none"/>
      <w:pStyle w:val="110"/>
      <w:lvlText w:val="%1注："/>
      <w:lvlJc w:val="left"/>
      <w:pPr>
        <w:tabs>
          <w:tab w:val="left" w:pos="845"/>
        </w:tabs>
        <w:ind w:left="-102" w:firstLine="419"/>
      </w:pPr>
    </w:lvl>
    <w:lvl w:ilvl="1" w:tentative="0">
      <w:start w:val="1"/>
      <w:numFmt w:val="lowerLetter"/>
      <w:lvlText w:val="%2)"/>
      <w:lvlJc w:val="left"/>
      <w:pPr>
        <w:tabs>
          <w:tab w:val="left" w:pos="840"/>
        </w:tabs>
        <w:ind w:left="840" w:hanging="420"/>
      </w:pPr>
    </w:lvl>
    <w:lvl w:ilvl="2" w:tentative="0">
      <w:start w:val="1"/>
      <w:numFmt w:val="lowerRoman"/>
      <w:lvlText w:val="%3."/>
      <w:lvlJc w:val="right"/>
      <w:pPr>
        <w:tabs>
          <w:tab w:val="left" w:pos="1260"/>
        </w:tabs>
        <w:ind w:left="1260" w:hanging="420"/>
      </w:pPr>
    </w:lvl>
    <w:lvl w:ilvl="3" w:tentative="0">
      <w:start w:val="1"/>
      <w:numFmt w:val="decimal"/>
      <w:lvlText w:val="%4."/>
      <w:lvlJc w:val="left"/>
      <w:pPr>
        <w:tabs>
          <w:tab w:val="left" w:pos="1680"/>
        </w:tabs>
        <w:ind w:left="1680" w:hanging="420"/>
      </w:pPr>
    </w:lvl>
    <w:lvl w:ilvl="4" w:tentative="0">
      <w:start w:val="1"/>
      <w:numFmt w:val="lowerLetter"/>
      <w:lvlText w:val="%5)"/>
      <w:lvlJc w:val="left"/>
      <w:pPr>
        <w:tabs>
          <w:tab w:val="left" w:pos="2100"/>
        </w:tabs>
        <w:ind w:left="2100" w:hanging="420"/>
      </w:pPr>
    </w:lvl>
    <w:lvl w:ilvl="5" w:tentative="0">
      <w:start w:val="1"/>
      <w:numFmt w:val="lowerRoman"/>
      <w:lvlText w:val="%6."/>
      <w:lvlJc w:val="right"/>
      <w:pPr>
        <w:tabs>
          <w:tab w:val="left" w:pos="2520"/>
        </w:tabs>
        <w:ind w:left="2520" w:hanging="420"/>
      </w:pPr>
    </w:lvl>
    <w:lvl w:ilvl="6" w:tentative="0">
      <w:start w:val="1"/>
      <w:numFmt w:val="decimal"/>
      <w:lvlText w:val="%7."/>
      <w:lvlJc w:val="left"/>
      <w:pPr>
        <w:tabs>
          <w:tab w:val="left" w:pos="2940"/>
        </w:tabs>
        <w:ind w:left="2940" w:hanging="420"/>
      </w:pPr>
    </w:lvl>
    <w:lvl w:ilvl="7" w:tentative="0">
      <w:start w:val="1"/>
      <w:numFmt w:val="lowerLetter"/>
      <w:lvlText w:val="%8)"/>
      <w:lvlJc w:val="left"/>
      <w:pPr>
        <w:tabs>
          <w:tab w:val="left" w:pos="3360"/>
        </w:tabs>
        <w:ind w:left="3360" w:hanging="420"/>
      </w:pPr>
    </w:lvl>
    <w:lvl w:ilvl="8" w:tentative="0">
      <w:start w:val="1"/>
      <w:numFmt w:val="lowerRoman"/>
      <w:lvlText w:val="%9."/>
      <w:lvlJc w:val="right"/>
      <w:pPr>
        <w:tabs>
          <w:tab w:val="left" w:pos="3780"/>
        </w:tabs>
        <w:ind w:left="3780" w:hanging="420"/>
      </w:pPr>
    </w:lvl>
  </w:abstractNum>
  <w:abstractNum w:abstractNumId="8">
    <w:nsid w:val="1AF15012"/>
    <w:multiLevelType w:val="multilevel"/>
    <w:tmpl w:val="1AF15012"/>
    <w:lvl w:ilvl="0" w:tentative="0">
      <w:start w:val="1"/>
      <w:numFmt w:val="upperLetter"/>
      <w:pStyle w:val="85"/>
      <w:suff w:val="nothing"/>
      <w:lvlText w:val="附 录(Annex) %1"/>
      <w:lvlJc w:val="left"/>
      <w:pPr>
        <w:ind w:left="0" w:firstLine="0"/>
      </w:pPr>
    </w:lvl>
    <w:lvl w:ilvl="1" w:tentative="0">
      <w:start w:val="1"/>
      <w:numFmt w:val="decimal"/>
      <w:suff w:val="nothing"/>
      <w:lvlText w:val="%1.%2　"/>
      <w:lvlJc w:val="left"/>
      <w:pPr>
        <w:ind w:left="0" w:firstLine="0"/>
      </w:pPr>
    </w:lvl>
    <w:lvl w:ilvl="2" w:tentative="0">
      <w:start w:val="1"/>
      <w:numFmt w:val="decimal"/>
      <w:suff w:val="nothing"/>
      <w:lvlText w:val="%1.%2.%3　"/>
      <w:lvlJc w:val="left"/>
      <w:pPr>
        <w:ind w:left="0" w:firstLine="0"/>
      </w:pPr>
    </w:lvl>
    <w:lvl w:ilvl="3" w:tentative="0">
      <w:start w:val="1"/>
      <w:numFmt w:val="decimal"/>
      <w:suff w:val="nothing"/>
      <w:lvlText w:val="%1.%2.%3.%4　"/>
      <w:lvlJc w:val="left"/>
      <w:pPr>
        <w:ind w:left="0" w:firstLine="0"/>
      </w:pPr>
    </w:lvl>
    <w:lvl w:ilvl="4" w:tentative="0">
      <w:start w:val="1"/>
      <w:numFmt w:val="decimal"/>
      <w:suff w:val="nothing"/>
      <w:lvlText w:val="%1.%2.%3.%4.%5　"/>
      <w:lvlJc w:val="left"/>
      <w:pPr>
        <w:ind w:left="0" w:firstLine="0"/>
      </w:pPr>
    </w:lvl>
    <w:lvl w:ilvl="5" w:tentative="0">
      <w:start w:val="1"/>
      <w:numFmt w:val="decimal"/>
      <w:suff w:val="nothing"/>
      <w:lvlText w:val="%1.%2.%3.%4.%5.%6　"/>
      <w:lvlJc w:val="left"/>
      <w:pPr>
        <w:ind w:left="0" w:firstLine="0"/>
      </w:pPr>
    </w:lvl>
    <w:lvl w:ilvl="6" w:tentative="0">
      <w:start w:val="1"/>
      <w:numFmt w:val="decimal"/>
      <w:suff w:val="nothing"/>
      <w:lvlText w:val="%1.%2.%3.%4.%5.%6.%7　"/>
      <w:lvlJc w:val="left"/>
      <w:pPr>
        <w:ind w:left="0" w:firstLine="0"/>
      </w:pPr>
    </w:lvl>
    <w:lvl w:ilvl="7" w:tentative="0">
      <w:start w:val="1"/>
      <w:numFmt w:val="decimal"/>
      <w:lvlText w:val="%1.%2.%3.%4.%5.%6.%7.%8"/>
      <w:lvlJc w:val="left"/>
      <w:pPr>
        <w:tabs>
          <w:tab w:val="left" w:pos="4394"/>
        </w:tabs>
        <w:ind w:left="4394" w:hanging="1418"/>
      </w:pPr>
    </w:lvl>
    <w:lvl w:ilvl="8" w:tentative="0">
      <w:start w:val="1"/>
      <w:numFmt w:val="decimal"/>
      <w:lvlText w:val="%1.%2.%3.%4.%5.%6.%7.%8.%9"/>
      <w:lvlJc w:val="left"/>
      <w:pPr>
        <w:tabs>
          <w:tab w:val="left" w:pos="5102"/>
        </w:tabs>
        <w:ind w:left="5102" w:hanging="1700"/>
      </w:pPr>
    </w:lvl>
  </w:abstractNum>
  <w:abstractNum w:abstractNumId="9">
    <w:nsid w:val="1EAA1992"/>
    <w:multiLevelType w:val="multilevel"/>
    <w:tmpl w:val="1EAA1992"/>
    <w:lvl w:ilvl="0" w:tentative="0">
      <w:start w:val="1"/>
      <w:numFmt w:val="none"/>
      <w:pStyle w:val="92"/>
      <w:suff w:val="nothing"/>
      <w:lvlText w:val="——"/>
      <w:lvlJc w:val="left"/>
      <w:pPr>
        <w:ind w:left="794" w:hanging="397"/>
      </w:pPr>
    </w:lvl>
    <w:lvl w:ilvl="1" w:tentative="0">
      <w:start w:val="1"/>
      <w:numFmt w:val="decimal"/>
      <w:suff w:val="nothing"/>
      <w:lvlText w:val="%1.%2　"/>
      <w:lvlJc w:val="left"/>
      <w:pPr>
        <w:ind w:left="397" w:firstLine="0"/>
      </w:pPr>
    </w:lvl>
    <w:lvl w:ilvl="2" w:tentative="0">
      <w:start w:val="1"/>
      <w:numFmt w:val="decimal"/>
      <w:suff w:val="nothing"/>
      <w:lvlText w:val="%1.%2.%3　"/>
      <w:lvlJc w:val="left"/>
      <w:pPr>
        <w:ind w:left="397" w:firstLine="0"/>
      </w:pPr>
    </w:lvl>
    <w:lvl w:ilvl="3" w:tentative="0">
      <w:start w:val="1"/>
      <w:numFmt w:val="decimal"/>
      <w:suff w:val="nothing"/>
      <w:lvlText w:val="%1.%2.%3.%4　"/>
      <w:lvlJc w:val="left"/>
      <w:pPr>
        <w:ind w:left="397" w:firstLine="0"/>
      </w:pPr>
    </w:lvl>
    <w:lvl w:ilvl="4" w:tentative="0">
      <w:start w:val="1"/>
      <w:numFmt w:val="decimal"/>
      <w:suff w:val="nothing"/>
      <w:lvlText w:val="%1.%2.%3.%4.%5　"/>
      <w:lvlJc w:val="left"/>
      <w:pPr>
        <w:ind w:left="397" w:firstLine="0"/>
      </w:pPr>
    </w:lvl>
    <w:lvl w:ilvl="5" w:tentative="0">
      <w:start w:val="1"/>
      <w:numFmt w:val="decimal"/>
      <w:suff w:val="nothing"/>
      <w:lvlText w:val="%1.%2.%3.%4.%5.%6　"/>
      <w:lvlJc w:val="left"/>
      <w:pPr>
        <w:ind w:left="397" w:firstLine="0"/>
      </w:pPr>
    </w:lvl>
    <w:lvl w:ilvl="6" w:tentative="0">
      <w:start w:val="1"/>
      <w:numFmt w:val="decimal"/>
      <w:suff w:val="nothing"/>
      <w:lvlText w:val="%1.%2.%3.%4.%5.%6.%7　"/>
      <w:lvlJc w:val="left"/>
      <w:pPr>
        <w:ind w:left="397" w:firstLine="0"/>
      </w:pPr>
    </w:lvl>
    <w:lvl w:ilvl="7" w:tentative="0">
      <w:start w:val="1"/>
      <w:numFmt w:val="decimal"/>
      <w:lvlText w:val="%1.%2.%3.%4.%5.%6.%7.%8"/>
      <w:lvlJc w:val="left"/>
      <w:pPr>
        <w:tabs>
          <w:tab w:val="left" w:pos="4791"/>
        </w:tabs>
        <w:ind w:left="4791" w:hanging="1418"/>
      </w:pPr>
    </w:lvl>
    <w:lvl w:ilvl="8" w:tentative="0">
      <w:start w:val="1"/>
      <w:numFmt w:val="decimal"/>
      <w:lvlText w:val="%1.%2.%3.%4.%5.%6.%7.%8.%9"/>
      <w:lvlJc w:val="left"/>
      <w:pPr>
        <w:tabs>
          <w:tab w:val="left" w:pos="5499"/>
        </w:tabs>
        <w:ind w:left="5499" w:hanging="1700"/>
      </w:pPr>
    </w:lvl>
  </w:abstractNum>
  <w:abstractNum w:abstractNumId="10">
    <w:nsid w:val="2C5917C3"/>
    <w:multiLevelType w:val="multilevel"/>
    <w:tmpl w:val="2C5917C3"/>
    <w:lvl w:ilvl="0" w:tentative="0">
      <w:start w:val="1"/>
      <w:numFmt w:val="none"/>
      <w:pStyle w:val="132"/>
      <w:lvlText w:val="%1——"/>
      <w:lvlJc w:val="left"/>
      <w:pPr>
        <w:tabs>
          <w:tab w:val="left" w:pos="851"/>
        </w:tabs>
        <w:ind w:left="851" w:hanging="426"/>
      </w:pPr>
      <w:rPr>
        <w:rFonts w:hint="eastAsia" w:ascii="宋体" w:hAnsi="Times New Roman" w:eastAsia="宋体"/>
        <w:b w:val="0"/>
        <w:i w:val="0"/>
        <w:sz w:val="21"/>
      </w:rPr>
    </w:lvl>
    <w:lvl w:ilvl="1" w:tentative="0">
      <w:start w:val="1"/>
      <w:numFmt w:val="none"/>
      <w:pStyle w:val="187"/>
      <w:lvlText w:val=""/>
      <w:lvlJc w:val="left"/>
      <w:pPr>
        <w:ind w:left="851" w:hanging="431"/>
      </w:pPr>
      <w:rPr>
        <w:rFonts w:hint="default" w:ascii="Symbol" w:hAnsi="Symbol"/>
        <w:sz w:val="21"/>
      </w:rPr>
    </w:lvl>
    <w:lvl w:ilvl="2" w:tentative="0">
      <w:start w:val="1"/>
      <w:numFmt w:val="bullet"/>
      <w:pStyle w:val="172"/>
      <w:lvlText w:val=""/>
      <w:lvlJc w:val="left"/>
      <w:pPr>
        <w:ind w:left="851" w:hanging="426"/>
      </w:pPr>
      <w:rPr>
        <w:rFonts w:hint="default" w:ascii="Wingdings" w:hAnsi="Wingdings"/>
        <w:sz w:val="21"/>
      </w:rPr>
    </w:lvl>
    <w:lvl w:ilvl="3" w:tentative="0">
      <w:start w:val="1"/>
      <w:numFmt w:val="decimal"/>
      <w:lvlText w:val="%4."/>
      <w:lvlJc w:val="left"/>
      <w:pPr>
        <w:tabs>
          <w:tab w:val="left" w:pos="2071"/>
        </w:tabs>
        <w:ind w:left="1884" w:hanging="528"/>
      </w:pPr>
      <w:rPr>
        <w:rFonts w:hint="eastAsia"/>
      </w:rPr>
    </w:lvl>
    <w:lvl w:ilvl="4" w:tentative="0">
      <w:start w:val="1"/>
      <w:numFmt w:val="lowerLetter"/>
      <w:lvlText w:val="%5)"/>
      <w:lvlJc w:val="left"/>
      <w:pPr>
        <w:tabs>
          <w:tab w:val="left" w:pos="2383"/>
        </w:tabs>
        <w:ind w:left="2196" w:hanging="528"/>
      </w:pPr>
      <w:rPr>
        <w:rFonts w:hint="eastAsia"/>
      </w:rPr>
    </w:lvl>
    <w:lvl w:ilvl="5" w:tentative="0">
      <w:start w:val="1"/>
      <w:numFmt w:val="lowerRoman"/>
      <w:lvlText w:val="%6."/>
      <w:lvlJc w:val="right"/>
      <w:pPr>
        <w:tabs>
          <w:tab w:val="left" w:pos="2695"/>
        </w:tabs>
        <w:ind w:left="2508" w:hanging="528"/>
      </w:pPr>
      <w:rPr>
        <w:rFonts w:hint="eastAsia"/>
      </w:rPr>
    </w:lvl>
    <w:lvl w:ilvl="6" w:tentative="0">
      <w:start w:val="1"/>
      <w:numFmt w:val="decimal"/>
      <w:lvlText w:val="%7."/>
      <w:lvlJc w:val="left"/>
      <w:pPr>
        <w:tabs>
          <w:tab w:val="left" w:pos="3007"/>
        </w:tabs>
        <w:ind w:left="2820" w:hanging="528"/>
      </w:pPr>
      <w:rPr>
        <w:rFonts w:hint="eastAsia"/>
      </w:rPr>
    </w:lvl>
    <w:lvl w:ilvl="7" w:tentative="0">
      <w:start w:val="1"/>
      <w:numFmt w:val="lowerLetter"/>
      <w:lvlText w:val="%8)"/>
      <w:lvlJc w:val="left"/>
      <w:pPr>
        <w:tabs>
          <w:tab w:val="left" w:pos="3319"/>
        </w:tabs>
        <w:ind w:left="3132" w:hanging="528"/>
      </w:pPr>
      <w:rPr>
        <w:rFonts w:hint="eastAsia"/>
      </w:rPr>
    </w:lvl>
    <w:lvl w:ilvl="8" w:tentative="0">
      <w:start w:val="1"/>
      <w:numFmt w:val="lowerRoman"/>
      <w:lvlText w:val="%9."/>
      <w:lvlJc w:val="right"/>
      <w:pPr>
        <w:tabs>
          <w:tab w:val="left" w:pos="3631"/>
        </w:tabs>
        <w:ind w:left="3444" w:hanging="528"/>
      </w:pPr>
      <w:rPr>
        <w:rFonts w:hint="eastAsia"/>
      </w:rPr>
    </w:lvl>
  </w:abstractNum>
  <w:abstractNum w:abstractNumId="11">
    <w:nsid w:val="32F04FB2"/>
    <w:multiLevelType w:val="multilevel"/>
    <w:tmpl w:val="32F04FB2"/>
    <w:lvl w:ilvl="0" w:tentative="0">
      <w:start w:val="1"/>
      <w:numFmt w:val="lowerLetter"/>
      <w:pStyle w:val="101"/>
      <w:lvlText w:val="%1"/>
      <w:lvlJc w:val="left"/>
      <w:pPr>
        <w:tabs>
          <w:tab w:val="left" w:pos="539"/>
        </w:tabs>
        <w:ind w:left="539" w:hanging="119"/>
      </w:pPr>
      <w:rPr>
        <w:rFonts w:hint="eastAsia"/>
        <w:caps w:val="0"/>
        <w:strike w:val="0"/>
        <w:dstrike w:val="0"/>
        <w:vanish w:val="0"/>
        <w:vertAlign w:val="superscript"/>
      </w:rPr>
    </w:lvl>
    <w:lvl w:ilvl="1" w:tentative="0">
      <w:start w:val="1"/>
      <w:numFmt w:val="lowerLetter"/>
      <w:lvlText w:val="%2)"/>
      <w:lvlJc w:val="left"/>
      <w:pPr>
        <w:ind w:left="1040" w:hanging="420"/>
      </w:pPr>
      <w:rPr>
        <w:rFonts w:hint="eastAsia"/>
      </w:rPr>
    </w:lvl>
    <w:lvl w:ilvl="2" w:tentative="0">
      <w:start w:val="1"/>
      <w:numFmt w:val="lowerRoman"/>
      <w:lvlText w:val="%3."/>
      <w:lvlJc w:val="right"/>
      <w:pPr>
        <w:ind w:left="1460" w:hanging="420"/>
      </w:pPr>
      <w:rPr>
        <w:rFonts w:hint="eastAsia"/>
      </w:rPr>
    </w:lvl>
    <w:lvl w:ilvl="3" w:tentative="0">
      <w:start w:val="1"/>
      <w:numFmt w:val="decimal"/>
      <w:lvlText w:val="%4."/>
      <w:lvlJc w:val="left"/>
      <w:pPr>
        <w:ind w:left="1880" w:hanging="420"/>
      </w:pPr>
      <w:rPr>
        <w:rFonts w:hint="eastAsia"/>
      </w:rPr>
    </w:lvl>
    <w:lvl w:ilvl="4" w:tentative="0">
      <w:start w:val="1"/>
      <w:numFmt w:val="lowerLetter"/>
      <w:lvlText w:val="%5)"/>
      <w:lvlJc w:val="left"/>
      <w:pPr>
        <w:ind w:left="2300" w:hanging="420"/>
      </w:pPr>
      <w:rPr>
        <w:rFonts w:hint="eastAsia"/>
      </w:rPr>
    </w:lvl>
    <w:lvl w:ilvl="5" w:tentative="0">
      <w:start w:val="1"/>
      <w:numFmt w:val="lowerRoman"/>
      <w:lvlText w:val="%6."/>
      <w:lvlJc w:val="right"/>
      <w:pPr>
        <w:ind w:left="2720" w:hanging="420"/>
      </w:pPr>
      <w:rPr>
        <w:rFonts w:hint="eastAsia"/>
      </w:rPr>
    </w:lvl>
    <w:lvl w:ilvl="6" w:tentative="0">
      <w:start w:val="1"/>
      <w:numFmt w:val="decimal"/>
      <w:lvlText w:val="%7."/>
      <w:lvlJc w:val="left"/>
      <w:pPr>
        <w:ind w:left="3140" w:hanging="420"/>
      </w:pPr>
      <w:rPr>
        <w:rFonts w:hint="eastAsia"/>
      </w:rPr>
    </w:lvl>
    <w:lvl w:ilvl="7" w:tentative="0">
      <w:start w:val="1"/>
      <w:numFmt w:val="lowerLetter"/>
      <w:lvlText w:val="%8)"/>
      <w:lvlJc w:val="left"/>
      <w:pPr>
        <w:ind w:left="3560" w:hanging="420"/>
      </w:pPr>
      <w:rPr>
        <w:rFonts w:hint="eastAsia"/>
      </w:rPr>
    </w:lvl>
    <w:lvl w:ilvl="8" w:tentative="0">
      <w:start w:val="1"/>
      <w:numFmt w:val="lowerRoman"/>
      <w:lvlText w:val="%9."/>
      <w:lvlJc w:val="right"/>
      <w:pPr>
        <w:ind w:left="3980" w:hanging="420"/>
      </w:pPr>
      <w:rPr>
        <w:rFonts w:hint="eastAsia"/>
      </w:rPr>
    </w:lvl>
  </w:abstractNum>
  <w:abstractNum w:abstractNumId="12">
    <w:nsid w:val="44C50F90"/>
    <w:multiLevelType w:val="multilevel"/>
    <w:tmpl w:val="44C50F90"/>
    <w:lvl w:ilvl="0" w:tentative="0">
      <w:start w:val="1"/>
      <w:numFmt w:val="lowerLetter"/>
      <w:pStyle w:val="174"/>
      <w:lvlText w:val="%1)"/>
      <w:lvlJc w:val="left"/>
      <w:pPr>
        <w:tabs>
          <w:tab w:val="left" w:pos="851"/>
        </w:tabs>
        <w:ind w:left="851" w:hanging="426"/>
      </w:pPr>
      <w:rPr>
        <w:rFonts w:hint="eastAsia" w:ascii="宋体" w:hAnsi="Times New Roman" w:eastAsia="宋体"/>
        <w:sz w:val="21"/>
      </w:rPr>
    </w:lvl>
    <w:lvl w:ilvl="1" w:tentative="0">
      <w:start w:val="1"/>
      <w:numFmt w:val="decimal"/>
      <w:pStyle w:val="109"/>
      <w:lvlText w:val="%2)"/>
      <w:lvlJc w:val="left"/>
      <w:pPr>
        <w:tabs>
          <w:tab w:val="left" w:pos="1276"/>
        </w:tabs>
        <w:ind w:left="1276" w:hanging="425"/>
      </w:pPr>
      <w:rPr>
        <w:rFonts w:hint="eastAsia" w:ascii="宋体" w:hAnsi="Times New Roman" w:eastAsia="宋体"/>
        <w:sz w:val="21"/>
      </w:rPr>
    </w:lvl>
    <w:lvl w:ilvl="2" w:tentative="0">
      <w:start w:val="1"/>
      <w:numFmt w:val="decimal"/>
      <w:pStyle w:val="117"/>
      <w:lvlText w:val="(%3)"/>
      <w:lvlJc w:val="left"/>
      <w:pPr>
        <w:ind w:left="1701" w:hanging="425"/>
      </w:pPr>
      <w:rPr>
        <w:rFonts w:hint="eastAsia" w:ascii="宋体" w:hAnsi="Times New Roman" w:eastAsia="宋体"/>
        <w:sz w:val="21"/>
      </w:rPr>
    </w:lvl>
    <w:lvl w:ilvl="3" w:tentative="0">
      <w:start w:val="1"/>
      <w:numFmt w:val="decimal"/>
      <w:lvlText w:val="%4."/>
      <w:lvlJc w:val="left"/>
      <w:pPr>
        <w:tabs>
          <w:tab w:val="left" w:pos="2100"/>
        </w:tabs>
        <w:ind w:left="2099" w:hanging="419"/>
      </w:pPr>
      <w:rPr>
        <w:rFonts w:hint="eastAsia"/>
      </w:rPr>
    </w:lvl>
    <w:lvl w:ilvl="4" w:tentative="0">
      <w:start w:val="1"/>
      <w:numFmt w:val="lowerLetter"/>
      <w:lvlText w:val="%5)"/>
      <w:lvlJc w:val="left"/>
      <w:pPr>
        <w:tabs>
          <w:tab w:val="left" w:pos="2520"/>
        </w:tabs>
        <w:ind w:left="2519" w:hanging="419"/>
      </w:pPr>
      <w:rPr>
        <w:rFonts w:hint="eastAsia"/>
      </w:rPr>
    </w:lvl>
    <w:lvl w:ilvl="5" w:tentative="0">
      <w:start w:val="1"/>
      <w:numFmt w:val="lowerRoman"/>
      <w:lvlText w:val="%6."/>
      <w:lvlJc w:val="right"/>
      <w:pPr>
        <w:tabs>
          <w:tab w:val="left" w:pos="2940"/>
        </w:tabs>
        <w:ind w:left="2939" w:hanging="419"/>
      </w:pPr>
      <w:rPr>
        <w:rFonts w:hint="eastAsia"/>
      </w:rPr>
    </w:lvl>
    <w:lvl w:ilvl="6" w:tentative="0">
      <w:start w:val="1"/>
      <w:numFmt w:val="decimal"/>
      <w:lvlText w:val="%7."/>
      <w:lvlJc w:val="left"/>
      <w:pPr>
        <w:tabs>
          <w:tab w:val="left" w:pos="3360"/>
        </w:tabs>
        <w:ind w:left="3359" w:hanging="419"/>
      </w:pPr>
      <w:rPr>
        <w:rFonts w:hint="eastAsia"/>
      </w:rPr>
    </w:lvl>
    <w:lvl w:ilvl="7" w:tentative="0">
      <w:start w:val="1"/>
      <w:numFmt w:val="lowerLetter"/>
      <w:lvlText w:val="%8)"/>
      <w:lvlJc w:val="left"/>
      <w:pPr>
        <w:tabs>
          <w:tab w:val="left" w:pos="3780"/>
        </w:tabs>
        <w:ind w:left="3779" w:hanging="419"/>
      </w:pPr>
      <w:rPr>
        <w:rFonts w:hint="eastAsia"/>
      </w:rPr>
    </w:lvl>
    <w:lvl w:ilvl="8" w:tentative="0">
      <w:start w:val="1"/>
      <w:numFmt w:val="lowerRoman"/>
      <w:lvlText w:val="%9."/>
      <w:lvlJc w:val="right"/>
      <w:pPr>
        <w:tabs>
          <w:tab w:val="left" w:pos="4200"/>
        </w:tabs>
        <w:ind w:left="4199" w:hanging="419"/>
      </w:pPr>
      <w:rPr>
        <w:rFonts w:hint="eastAsia"/>
      </w:rPr>
    </w:lvl>
  </w:abstractNum>
  <w:abstractNum w:abstractNumId="13">
    <w:nsid w:val="48802D1C"/>
    <w:multiLevelType w:val="multilevel"/>
    <w:tmpl w:val="48802D1C"/>
    <w:lvl w:ilvl="0" w:tentative="0">
      <w:start w:val="1"/>
      <w:numFmt w:val="upperLetter"/>
      <w:pStyle w:val="198"/>
      <w:lvlText w:val="%1"/>
      <w:lvlJc w:val="left"/>
      <w:pPr>
        <w:ind w:left="420" w:hanging="420"/>
      </w:pPr>
      <w:rPr>
        <w:rFonts w:hint="eastAsia"/>
      </w:rPr>
    </w:lvl>
    <w:lvl w:ilvl="1" w:tentative="0">
      <w:start w:val="1"/>
      <w:numFmt w:val="decimal"/>
      <w:pStyle w:val="83"/>
      <w:suff w:val="space"/>
      <w:lvlText w:val="图%1.%2"/>
      <w:lvlJc w:val="center"/>
      <w:pPr>
        <w:ind w:left="0" w:firstLine="0"/>
      </w:pPr>
      <w:rPr>
        <w:rFonts w:hint="eastAsia"/>
      </w:rPr>
    </w:lvl>
    <w:lvl w:ilvl="2" w:tentative="0">
      <w:start w:val="1"/>
      <w:numFmt w:val="lowerRoman"/>
      <w:lvlText w:val="%3."/>
      <w:lvlJc w:val="right"/>
      <w:pPr>
        <w:ind w:left="1260" w:hanging="420"/>
      </w:pPr>
      <w:rPr>
        <w:rFonts w:hint="eastAsia"/>
      </w:rPr>
    </w:lvl>
    <w:lvl w:ilvl="3" w:tentative="0">
      <w:start w:val="1"/>
      <w:numFmt w:val="decimal"/>
      <w:lvlText w:val="%4."/>
      <w:lvlJc w:val="left"/>
      <w:pPr>
        <w:ind w:left="1680" w:hanging="420"/>
      </w:pPr>
      <w:rPr>
        <w:rFonts w:hint="eastAsia"/>
      </w:rPr>
    </w:lvl>
    <w:lvl w:ilvl="4" w:tentative="0">
      <w:start w:val="1"/>
      <w:numFmt w:val="lowerLetter"/>
      <w:lvlText w:val="%5)"/>
      <w:lvlJc w:val="left"/>
      <w:pPr>
        <w:ind w:left="2100" w:hanging="420"/>
      </w:pPr>
      <w:rPr>
        <w:rFonts w:hint="eastAsia"/>
      </w:rPr>
    </w:lvl>
    <w:lvl w:ilvl="5" w:tentative="0">
      <w:start w:val="1"/>
      <w:numFmt w:val="lowerRoman"/>
      <w:lvlText w:val="%6."/>
      <w:lvlJc w:val="right"/>
      <w:pPr>
        <w:ind w:left="2520" w:hanging="420"/>
      </w:pPr>
      <w:rPr>
        <w:rFonts w:hint="eastAsia"/>
      </w:rPr>
    </w:lvl>
    <w:lvl w:ilvl="6" w:tentative="0">
      <w:start w:val="1"/>
      <w:numFmt w:val="decimal"/>
      <w:lvlText w:val="%7."/>
      <w:lvlJc w:val="left"/>
      <w:pPr>
        <w:ind w:left="2940" w:hanging="420"/>
      </w:pPr>
      <w:rPr>
        <w:rFonts w:hint="eastAsia"/>
      </w:rPr>
    </w:lvl>
    <w:lvl w:ilvl="7" w:tentative="0">
      <w:start w:val="1"/>
      <w:numFmt w:val="lowerLetter"/>
      <w:lvlText w:val="%8)"/>
      <w:lvlJc w:val="left"/>
      <w:pPr>
        <w:ind w:left="3360" w:hanging="420"/>
      </w:pPr>
      <w:rPr>
        <w:rFonts w:hint="eastAsia"/>
      </w:rPr>
    </w:lvl>
    <w:lvl w:ilvl="8" w:tentative="0">
      <w:start w:val="1"/>
      <w:numFmt w:val="lowerRoman"/>
      <w:lvlText w:val="%9."/>
      <w:lvlJc w:val="right"/>
      <w:pPr>
        <w:ind w:left="3780" w:hanging="420"/>
      </w:pPr>
      <w:rPr>
        <w:rFonts w:hint="eastAsia"/>
      </w:rPr>
    </w:lvl>
  </w:abstractNum>
  <w:abstractNum w:abstractNumId="14">
    <w:nsid w:val="4B733A5F"/>
    <w:multiLevelType w:val="multilevel"/>
    <w:tmpl w:val="4B733A5F"/>
    <w:lvl w:ilvl="0" w:tentative="0">
      <w:start w:val="1"/>
      <w:numFmt w:val="decimal"/>
      <w:pStyle w:val="183"/>
      <w:suff w:val="nothing"/>
      <w:lvlText w:val="示例%1："/>
      <w:lvlJc w:val="left"/>
      <w:pPr>
        <w:ind w:left="0" w:firstLine="363"/>
      </w:pPr>
      <w:rPr>
        <w:rFonts w:hint="eastAsia" w:ascii="黑体" w:eastAsia="黑体"/>
        <w:b w:val="0"/>
        <w:i w:val="0"/>
        <w:sz w:val="18"/>
      </w:rPr>
    </w:lvl>
    <w:lvl w:ilvl="1" w:tentative="0">
      <w:start w:val="1"/>
      <w:numFmt w:val="none"/>
      <w:suff w:val="space"/>
      <w:lvlText w:val=""/>
      <w:lvlJc w:val="left"/>
      <w:pPr>
        <w:ind w:left="0" w:firstLine="0"/>
      </w:pPr>
      <w:rPr>
        <w:rFonts w:hint="eastAsia"/>
      </w:rPr>
    </w:lvl>
    <w:lvl w:ilvl="2" w:tentative="0">
      <w:start w:val="1"/>
      <w:numFmt w:val="decimal"/>
      <w:suff w:val="space"/>
      <w:lvlText w:val="2.2.%3"/>
      <w:lvlJc w:val="left"/>
      <w:pPr>
        <w:ind w:left="0" w:firstLine="0"/>
      </w:pPr>
      <w:rPr>
        <w:rFonts w:hint="eastAsia"/>
      </w:rPr>
    </w:lvl>
    <w:lvl w:ilvl="3" w:tentative="0">
      <w:start w:val="1"/>
      <w:numFmt w:val="decimal"/>
      <w:lvlText w:val="%4."/>
      <w:lvlJc w:val="left"/>
      <w:pPr>
        <w:tabs>
          <w:tab w:val="left" w:pos="0"/>
        </w:tabs>
        <w:ind w:left="992" w:hanging="629"/>
      </w:pPr>
      <w:rPr>
        <w:rFonts w:hint="eastAsia"/>
      </w:rPr>
    </w:lvl>
    <w:lvl w:ilvl="4" w:tentative="0">
      <w:start w:val="1"/>
      <w:numFmt w:val="lowerLetter"/>
      <w:lvlText w:val="%5)"/>
      <w:lvlJc w:val="left"/>
      <w:pPr>
        <w:tabs>
          <w:tab w:val="left" w:pos="0"/>
        </w:tabs>
        <w:ind w:left="992" w:hanging="629"/>
      </w:pPr>
      <w:rPr>
        <w:rFonts w:hint="eastAsia"/>
      </w:rPr>
    </w:lvl>
    <w:lvl w:ilvl="5" w:tentative="0">
      <w:start w:val="1"/>
      <w:numFmt w:val="lowerRoman"/>
      <w:lvlText w:val="%6."/>
      <w:lvlJc w:val="right"/>
      <w:pPr>
        <w:tabs>
          <w:tab w:val="left" w:pos="0"/>
        </w:tabs>
        <w:ind w:left="992" w:hanging="629"/>
      </w:pPr>
      <w:rPr>
        <w:rFonts w:hint="eastAsia"/>
      </w:rPr>
    </w:lvl>
    <w:lvl w:ilvl="6" w:tentative="0">
      <w:start w:val="1"/>
      <w:numFmt w:val="decimal"/>
      <w:lvlText w:val="%7."/>
      <w:lvlJc w:val="left"/>
      <w:pPr>
        <w:tabs>
          <w:tab w:val="left" w:pos="0"/>
        </w:tabs>
        <w:ind w:left="992" w:hanging="629"/>
      </w:pPr>
      <w:rPr>
        <w:rFonts w:hint="eastAsia"/>
      </w:rPr>
    </w:lvl>
    <w:lvl w:ilvl="7" w:tentative="0">
      <w:start w:val="1"/>
      <w:numFmt w:val="lowerLetter"/>
      <w:lvlText w:val="%8)"/>
      <w:lvlJc w:val="left"/>
      <w:pPr>
        <w:tabs>
          <w:tab w:val="left" w:pos="0"/>
        </w:tabs>
        <w:ind w:left="992" w:hanging="629"/>
      </w:pPr>
      <w:rPr>
        <w:rFonts w:hint="eastAsia"/>
      </w:rPr>
    </w:lvl>
    <w:lvl w:ilvl="8" w:tentative="0">
      <w:start w:val="1"/>
      <w:numFmt w:val="lowerRoman"/>
      <w:lvlText w:val="%9."/>
      <w:lvlJc w:val="right"/>
      <w:pPr>
        <w:tabs>
          <w:tab w:val="left" w:pos="0"/>
        </w:tabs>
        <w:ind w:left="992" w:hanging="629"/>
      </w:pPr>
      <w:rPr>
        <w:rFonts w:hint="eastAsia"/>
      </w:rPr>
    </w:lvl>
  </w:abstractNum>
  <w:abstractNum w:abstractNumId="15">
    <w:nsid w:val="4E5D0534"/>
    <w:multiLevelType w:val="multilevel"/>
    <w:tmpl w:val="4E5D0534"/>
    <w:lvl w:ilvl="0" w:tentative="0">
      <w:start w:val="1"/>
      <w:numFmt w:val="decimal"/>
      <w:pStyle w:val="116"/>
      <w:suff w:val="nothing"/>
      <w:lvlText w:val="Figure %1　"/>
      <w:lvlJc w:val="left"/>
      <w:pPr>
        <w:ind w:left="0" w:firstLine="0"/>
      </w:pPr>
    </w:lvl>
    <w:lvl w:ilvl="1" w:tentative="0">
      <w:start w:val="1"/>
      <w:numFmt w:val="decimal"/>
      <w:suff w:val="nothing"/>
      <w:lvlText w:val="%1%2　"/>
      <w:lvlJc w:val="left"/>
      <w:pPr>
        <w:ind w:left="0" w:firstLine="0"/>
      </w:pPr>
    </w:lvl>
    <w:lvl w:ilvl="2" w:tentative="0">
      <w:start w:val="1"/>
      <w:numFmt w:val="decimal"/>
      <w:suff w:val="nothing"/>
      <w:lvlText w:val="%1%2.%3　"/>
      <w:lvlJc w:val="left"/>
      <w:pPr>
        <w:ind w:left="0" w:firstLine="0"/>
      </w:pPr>
    </w:lvl>
    <w:lvl w:ilvl="3" w:tentative="0">
      <w:start w:val="1"/>
      <w:numFmt w:val="decimal"/>
      <w:suff w:val="nothing"/>
      <w:lvlText w:val="%1%2.%3.%4　"/>
      <w:lvlJc w:val="left"/>
      <w:pPr>
        <w:ind w:left="0" w:firstLine="0"/>
      </w:pPr>
    </w:lvl>
    <w:lvl w:ilvl="4" w:tentative="0">
      <w:start w:val="1"/>
      <w:numFmt w:val="decimal"/>
      <w:suff w:val="nothing"/>
      <w:lvlText w:val="%1%2.%3.%4.%5　"/>
      <w:lvlJc w:val="left"/>
      <w:pPr>
        <w:ind w:left="0" w:firstLine="0"/>
      </w:pPr>
    </w:lvl>
    <w:lvl w:ilvl="5" w:tentative="0">
      <w:start w:val="1"/>
      <w:numFmt w:val="decimal"/>
      <w:suff w:val="nothing"/>
      <w:lvlText w:val="%1%2.%3.%4.%5.%6　"/>
      <w:lvlJc w:val="left"/>
      <w:pPr>
        <w:ind w:left="0" w:firstLine="0"/>
      </w:pPr>
    </w:lvl>
    <w:lvl w:ilvl="6" w:tentative="0">
      <w:start w:val="1"/>
      <w:numFmt w:val="decimal"/>
      <w:suff w:val="nothing"/>
      <w:lvlText w:val="%1%2.%3.%4.%5.%6.%7　"/>
      <w:lvlJc w:val="left"/>
      <w:pPr>
        <w:ind w:left="0" w:firstLine="0"/>
      </w:pPr>
    </w:lvl>
    <w:lvl w:ilvl="7" w:tentative="0">
      <w:start w:val="1"/>
      <w:numFmt w:val="decimal"/>
      <w:lvlText w:val="%1.%2.%3.%4.%5.%6.%7.%8"/>
      <w:lvlJc w:val="left"/>
      <w:pPr>
        <w:tabs>
          <w:tab w:val="left" w:pos="4348"/>
        </w:tabs>
        <w:ind w:left="3969" w:hanging="1418"/>
      </w:pPr>
    </w:lvl>
    <w:lvl w:ilvl="8" w:tentative="0">
      <w:start w:val="1"/>
      <w:numFmt w:val="decimal"/>
      <w:lvlText w:val="%1.%2.%3.%4.%5.%6.%7.%8.%9"/>
      <w:lvlJc w:val="left"/>
      <w:pPr>
        <w:tabs>
          <w:tab w:val="left" w:pos="4774"/>
        </w:tabs>
        <w:ind w:left="4677" w:hanging="1701"/>
      </w:pPr>
    </w:lvl>
  </w:abstractNum>
  <w:abstractNum w:abstractNumId="16">
    <w:nsid w:val="54632751"/>
    <w:multiLevelType w:val="multilevel"/>
    <w:tmpl w:val="54632751"/>
    <w:lvl w:ilvl="0" w:tentative="0">
      <w:start w:val="1"/>
      <w:numFmt w:val="none"/>
      <w:pStyle w:val="93"/>
      <w:suff w:val="nothing"/>
      <w:lvlText w:val="——"/>
      <w:lvlJc w:val="left"/>
      <w:pPr>
        <w:ind w:left="1588" w:firstLine="0"/>
      </w:pPr>
    </w:lvl>
    <w:lvl w:ilvl="1" w:tentative="0">
      <w:start w:val="1"/>
      <w:numFmt w:val="decimal"/>
      <w:suff w:val="nothing"/>
      <w:lvlText w:val="%1.%2　"/>
      <w:lvlJc w:val="left"/>
      <w:pPr>
        <w:ind w:left="1588" w:firstLine="0"/>
      </w:pPr>
    </w:lvl>
    <w:lvl w:ilvl="2" w:tentative="0">
      <w:start w:val="1"/>
      <w:numFmt w:val="decimal"/>
      <w:suff w:val="nothing"/>
      <w:lvlText w:val="%1.%2.%3　"/>
      <w:lvlJc w:val="left"/>
      <w:pPr>
        <w:ind w:left="1588" w:firstLine="0"/>
      </w:pPr>
    </w:lvl>
    <w:lvl w:ilvl="3" w:tentative="0">
      <w:start w:val="1"/>
      <w:numFmt w:val="decimal"/>
      <w:suff w:val="nothing"/>
      <w:lvlText w:val="%1.%2.%3.%4　"/>
      <w:lvlJc w:val="left"/>
      <w:pPr>
        <w:ind w:left="1588" w:firstLine="0"/>
      </w:pPr>
    </w:lvl>
    <w:lvl w:ilvl="4" w:tentative="0">
      <w:start w:val="1"/>
      <w:numFmt w:val="decimal"/>
      <w:suff w:val="nothing"/>
      <w:lvlText w:val="%1.%2.%3.%4.%5　"/>
      <w:lvlJc w:val="left"/>
      <w:pPr>
        <w:ind w:left="1588" w:firstLine="0"/>
      </w:pPr>
    </w:lvl>
    <w:lvl w:ilvl="5" w:tentative="0">
      <w:start w:val="1"/>
      <w:numFmt w:val="decimal"/>
      <w:suff w:val="nothing"/>
      <w:lvlText w:val="%1.%2.%3.%4.%5.%6　"/>
      <w:lvlJc w:val="left"/>
      <w:pPr>
        <w:ind w:left="1588" w:firstLine="0"/>
      </w:pPr>
    </w:lvl>
    <w:lvl w:ilvl="6" w:tentative="0">
      <w:start w:val="1"/>
      <w:numFmt w:val="decimal"/>
      <w:suff w:val="nothing"/>
      <w:lvlText w:val="%1.%2.%3.%4.%5.%6.%7　"/>
      <w:lvlJc w:val="left"/>
      <w:pPr>
        <w:ind w:left="1588" w:firstLine="0"/>
      </w:pPr>
    </w:lvl>
    <w:lvl w:ilvl="7" w:tentative="0">
      <w:start w:val="1"/>
      <w:numFmt w:val="decimal"/>
      <w:lvlText w:val="%1.%2.%3.%4.%5.%6.%7.%8"/>
      <w:lvlJc w:val="left"/>
      <w:pPr>
        <w:tabs>
          <w:tab w:val="left" w:pos="5982"/>
        </w:tabs>
        <w:ind w:left="5982" w:hanging="1418"/>
      </w:pPr>
    </w:lvl>
    <w:lvl w:ilvl="8" w:tentative="0">
      <w:start w:val="1"/>
      <w:numFmt w:val="decimal"/>
      <w:lvlText w:val="%1.%2.%3.%4.%5.%6.%7.%8.%9"/>
      <w:lvlJc w:val="left"/>
      <w:pPr>
        <w:tabs>
          <w:tab w:val="left" w:pos="6690"/>
        </w:tabs>
        <w:ind w:left="6690" w:hanging="1700"/>
      </w:pPr>
    </w:lvl>
  </w:abstractNum>
  <w:abstractNum w:abstractNumId="17">
    <w:nsid w:val="557C2AF5"/>
    <w:multiLevelType w:val="multilevel"/>
    <w:tmpl w:val="557C2AF5"/>
    <w:lvl w:ilvl="0" w:tentative="0">
      <w:start w:val="1"/>
      <w:numFmt w:val="decimal"/>
      <w:pStyle w:val="114"/>
      <w:suff w:val="nothing"/>
      <w:lvlText w:val="图%1　"/>
      <w:lvlJc w:val="left"/>
      <w:pPr>
        <w:ind w:left="0" w:firstLine="0"/>
      </w:pPr>
    </w:lvl>
    <w:lvl w:ilvl="1" w:tentative="0">
      <w:start w:val="1"/>
      <w:numFmt w:val="decimal"/>
      <w:suff w:val="nothing"/>
      <w:lvlText w:val="%1%2　"/>
      <w:lvlJc w:val="left"/>
      <w:pPr>
        <w:ind w:left="0" w:firstLine="0"/>
      </w:pPr>
    </w:lvl>
    <w:lvl w:ilvl="2" w:tentative="0">
      <w:start w:val="1"/>
      <w:numFmt w:val="decimal"/>
      <w:suff w:val="nothing"/>
      <w:lvlText w:val="%1%2.%3　"/>
      <w:lvlJc w:val="left"/>
      <w:pPr>
        <w:ind w:left="0" w:firstLine="0"/>
      </w:pPr>
    </w:lvl>
    <w:lvl w:ilvl="3" w:tentative="0">
      <w:start w:val="1"/>
      <w:numFmt w:val="decimal"/>
      <w:suff w:val="nothing"/>
      <w:lvlText w:val="%1%2.%3.%4　"/>
      <w:lvlJc w:val="left"/>
      <w:pPr>
        <w:ind w:left="0" w:firstLine="0"/>
      </w:pPr>
    </w:lvl>
    <w:lvl w:ilvl="4" w:tentative="0">
      <w:start w:val="1"/>
      <w:numFmt w:val="decimal"/>
      <w:suff w:val="nothing"/>
      <w:lvlText w:val="%1%2.%3.%4.%5　"/>
      <w:lvlJc w:val="left"/>
      <w:pPr>
        <w:ind w:left="0" w:firstLine="0"/>
      </w:pPr>
    </w:lvl>
    <w:lvl w:ilvl="5" w:tentative="0">
      <w:start w:val="1"/>
      <w:numFmt w:val="decimal"/>
      <w:suff w:val="nothing"/>
      <w:lvlText w:val="%1%2.%3.%4.%5.%6　"/>
      <w:lvlJc w:val="left"/>
      <w:pPr>
        <w:ind w:left="0" w:firstLine="0"/>
      </w:pPr>
    </w:lvl>
    <w:lvl w:ilvl="6" w:tentative="0">
      <w:start w:val="1"/>
      <w:numFmt w:val="decimal"/>
      <w:suff w:val="nothing"/>
      <w:lvlText w:val="%1%2.%3.%4.%5.%6.%7　"/>
      <w:lvlJc w:val="left"/>
      <w:pPr>
        <w:ind w:left="0" w:firstLine="0"/>
      </w:pPr>
    </w:lvl>
    <w:lvl w:ilvl="7" w:tentative="0">
      <w:start w:val="1"/>
      <w:numFmt w:val="decimal"/>
      <w:lvlText w:val="%1.%2.%3.%4.%5.%6.%7.%8"/>
      <w:lvlJc w:val="left"/>
      <w:pPr>
        <w:tabs>
          <w:tab w:val="left" w:pos="4348"/>
        </w:tabs>
        <w:ind w:left="3969" w:hanging="1418"/>
      </w:pPr>
    </w:lvl>
    <w:lvl w:ilvl="8" w:tentative="0">
      <w:start w:val="1"/>
      <w:numFmt w:val="decimal"/>
      <w:lvlText w:val="%1.%2.%3.%4.%5.%6.%7.%8.%9"/>
      <w:lvlJc w:val="left"/>
      <w:pPr>
        <w:tabs>
          <w:tab w:val="left" w:pos="4774"/>
        </w:tabs>
        <w:ind w:left="4677" w:hanging="1701"/>
      </w:pPr>
    </w:lvl>
  </w:abstractNum>
  <w:abstractNum w:abstractNumId="18">
    <w:nsid w:val="5603797C"/>
    <w:multiLevelType w:val="multilevel"/>
    <w:tmpl w:val="5603797C"/>
    <w:lvl w:ilvl="0" w:tentative="0">
      <w:start w:val="1"/>
      <w:numFmt w:val="upperLetter"/>
      <w:pStyle w:val="199"/>
      <w:suff w:val="space"/>
      <w:lvlText w:val="%1"/>
      <w:lvlJc w:val="left"/>
      <w:pPr>
        <w:ind w:left="425" w:hanging="425"/>
      </w:pPr>
      <w:rPr>
        <w:rFonts w:hint="eastAsia"/>
      </w:rPr>
    </w:lvl>
    <w:lvl w:ilvl="1" w:tentative="0">
      <w:start w:val="1"/>
      <w:numFmt w:val="decimal"/>
      <w:pStyle w:val="77"/>
      <w:suff w:val="space"/>
      <w:lvlText w:val="表%1.%2"/>
      <w:lvlJc w:val="center"/>
      <w:pPr>
        <w:ind w:left="0" w:firstLine="0"/>
      </w:pPr>
      <w:rPr>
        <w:rFonts w:hint="eastAsia" w:ascii="黑体" w:eastAsia="黑体"/>
        <w:sz w:val="21"/>
      </w:rPr>
    </w:lvl>
    <w:lvl w:ilvl="2" w:tentative="0">
      <w:start w:val="1"/>
      <w:numFmt w:val="decimal"/>
      <w:lvlText w:val="%1.%2.%3"/>
      <w:lvlJc w:val="left"/>
      <w:pPr>
        <w:ind w:left="1418" w:hanging="567"/>
      </w:pPr>
      <w:rPr>
        <w:rFonts w:hint="eastAsia"/>
      </w:rPr>
    </w:lvl>
    <w:lvl w:ilvl="3" w:tentative="0">
      <w:start w:val="1"/>
      <w:numFmt w:val="decimal"/>
      <w:lvlText w:val="%1.%2.%3.%4"/>
      <w:lvlJc w:val="left"/>
      <w:pPr>
        <w:ind w:left="1984" w:hanging="708"/>
      </w:pPr>
      <w:rPr>
        <w:rFonts w:hint="eastAsia"/>
      </w:rPr>
    </w:lvl>
    <w:lvl w:ilvl="4" w:tentative="0">
      <w:start w:val="1"/>
      <w:numFmt w:val="decimal"/>
      <w:lvlText w:val="%1.%2.%3.%4.%5"/>
      <w:lvlJc w:val="left"/>
      <w:pPr>
        <w:ind w:left="2551" w:hanging="850"/>
      </w:pPr>
      <w:rPr>
        <w:rFonts w:hint="eastAsia"/>
      </w:rPr>
    </w:lvl>
    <w:lvl w:ilvl="5" w:tentative="0">
      <w:start w:val="1"/>
      <w:numFmt w:val="decimal"/>
      <w:lvlText w:val="%1.%2.%3.%4.%5.%6"/>
      <w:lvlJc w:val="left"/>
      <w:pPr>
        <w:ind w:left="3260" w:hanging="1134"/>
      </w:pPr>
      <w:rPr>
        <w:rFonts w:hint="eastAsia"/>
      </w:rPr>
    </w:lvl>
    <w:lvl w:ilvl="6" w:tentative="0">
      <w:start w:val="1"/>
      <w:numFmt w:val="decimal"/>
      <w:lvlText w:val="%1.%2.%3.%4.%5.%6.%7"/>
      <w:lvlJc w:val="left"/>
      <w:pPr>
        <w:ind w:left="3827" w:hanging="1276"/>
      </w:pPr>
      <w:rPr>
        <w:rFonts w:hint="eastAsia"/>
      </w:rPr>
    </w:lvl>
    <w:lvl w:ilvl="7" w:tentative="0">
      <w:start w:val="1"/>
      <w:numFmt w:val="decimal"/>
      <w:lvlText w:val="%1.%2.%3.%4.%5.%6.%7.%8"/>
      <w:lvlJc w:val="left"/>
      <w:pPr>
        <w:ind w:left="4394" w:hanging="1418"/>
      </w:pPr>
      <w:rPr>
        <w:rFonts w:hint="eastAsia"/>
      </w:rPr>
    </w:lvl>
    <w:lvl w:ilvl="8" w:tentative="0">
      <w:start w:val="1"/>
      <w:numFmt w:val="decimal"/>
      <w:lvlText w:val="%1.%2.%3.%4.%5.%6.%7.%8.%9"/>
      <w:lvlJc w:val="left"/>
      <w:pPr>
        <w:ind w:left="5102" w:hanging="1700"/>
      </w:pPr>
      <w:rPr>
        <w:rFonts w:hint="eastAsia"/>
      </w:rPr>
    </w:lvl>
  </w:abstractNum>
  <w:abstractNum w:abstractNumId="19">
    <w:nsid w:val="564D2089"/>
    <w:multiLevelType w:val="multilevel"/>
    <w:tmpl w:val="564D2089"/>
    <w:lvl w:ilvl="0" w:tentative="0">
      <w:start w:val="1"/>
      <w:numFmt w:val="none"/>
      <w:pStyle w:val="111"/>
      <w:lvlText w:val="%1注"/>
      <w:lvlJc w:val="left"/>
      <w:pPr>
        <w:tabs>
          <w:tab w:val="left" w:pos="760"/>
        </w:tabs>
        <w:ind w:left="760" w:hanging="284"/>
      </w:pPr>
    </w:lvl>
    <w:lvl w:ilvl="1" w:tentative="0">
      <w:start w:val="1"/>
      <w:numFmt w:val="lowerLetter"/>
      <w:lvlText w:val="%2)"/>
      <w:lvlJc w:val="left"/>
      <w:pPr>
        <w:tabs>
          <w:tab w:val="left" w:pos="840"/>
        </w:tabs>
        <w:ind w:left="840" w:hanging="420"/>
      </w:pPr>
    </w:lvl>
    <w:lvl w:ilvl="2" w:tentative="0">
      <w:start w:val="1"/>
      <w:numFmt w:val="lowerRoman"/>
      <w:lvlText w:val="%3."/>
      <w:lvlJc w:val="right"/>
      <w:pPr>
        <w:tabs>
          <w:tab w:val="left" w:pos="1260"/>
        </w:tabs>
        <w:ind w:left="1260" w:hanging="420"/>
      </w:pPr>
    </w:lvl>
    <w:lvl w:ilvl="3" w:tentative="0">
      <w:start w:val="1"/>
      <w:numFmt w:val="decimal"/>
      <w:lvlText w:val="%4."/>
      <w:lvlJc w:val="left"/>
      <w:pPr>
        <w:tabs>
          <w:tab w:val="left" w:pos="1680"/>
        </w:tabs>
        <w:ind w:left="1680" w:hanging="420"/>
      </w:pPr>
    </w:lvl>
    <w:lvl w:ilvl="4" w:tentative="0">
      <w:start w:val="1"/>
      <w:numFmt w:val="lowerLetter"/>
      <w:lvlText w:val="%5)"/>
      <w:lvlJc w:val="left"/>
      <w:pPr>
        <w:tabs>
          <w:tab w:val="left" w:pos="2100"/>
        </w:tabs>
        <w:ind w:left="2100" w:hanging="420"/>
      </w:pPr>
    </w:lvl>
    <w:lvl w:ilvl="5" w:tentative="0">
      <w:start w:val="1"/>
      <w:numFmt w:val="lowerRoman"/>
      <w:lvlText w:val="%6."/>
      <w:lvlJc w:val="right"/>
      <w:pPr>
        <w:tabs>
          <w:tab w:val="left" w:pos="2520"/>
        </w:tabs>
        <w:ind w:left="2520" w:hanging="420"/>
      </w:pPr>
    </w:lvl>
    <w:lvl w:ilvl="6" w:tentative="0">
      <w:start w:val="1"/>
      <w:numFmt w:val="decimal"/>
      <w:lvlText w:val="%7."/>
      <w:lvlJc w:val="left"/>
      <w:pPr>
        <w:tabs>
          <w:tab w:val="left" w:pos="2940"/>
        </w:tabs>
        <w:ind w:left="2940" w:hanging="420"/>
      </w:pPr>
    </w:lvl>
    <w:lvl w:ilvl="7" w:tentative="0">
      <w:start w:val="1"/>
      <w:numFmt w:val="lowerLetter"/>
      <w:lvlText w:val="%8)"/>
      <w:lvlJc w:val="left"/>
      <w:pPr>
        <w:tabs>
          <w:tab w:val="left" w:pos="3360"/>
        </w:tabs>
        <w:ind w:left="3360" w:hanging="420"/>
      </w:pPr>
    </w:lvl>
    <w:lvl w:ilvl="8" w:tentative="0">
      <w:start w:val="1"/>
      <w:numFmt w:val="lowerRoman"/>
      <w:lvlText w:val="%9."/>
      <w:lvlJc w:val="right"/>
      <w:pPr>
        <w:tabs>
          <w:tab w:val="left" w:pos="3780"/>
        </w:tabs>
        <w:ind w:left="3780" w:hanging="420"/>
      </w:pPr>
    </w:lvl>
  </w:abstractNum>
  <w:abstractNum w:abstractNumId="20">
    <w:nsid w:val="644622F9"/>
    <w:multiLevelType w:val="multilevel"/>
    <w:tmpl w:val="644622F9"/>
    <w:lvl w:ilvl="0" w:tentative="0">
      <w:start w:val="1"/>
      <w:numFmt w:val="upperRoman"/>
      <w:pStyle w:val="168"/>
      <w:lvlText w:val="%1)"/>
      <w:lvlJc w:val="left"/>
      <w:pPr>
        <w:tabs>
          <w:tab w:val="left" w:pos="851"/>
        </w:tabs>
        <w:ind w:left="851" w:hanging="426"/>
      </w:pPr>
      <w:rPr>
        <w:rFonts w:hint="eastAsia" w:ascii="宋体" w:hAnsi="Times New Roman" w:eastAsia="宋体"/>
        <w:sz w:val="21"/>
      </w:rPr>
    </w:lvl>
    <w:lvl w:ilvl="1" w:tentative="0">
      <w:start w:val="1"/>
      <w:numFmt w:val="lowerLetter"/>
      <w:lvlText w:val="%2)"/>
      <w:lvlJc w:val="left"/>
      <w:pPr>
        <w:tabs>
          <w:tab w:val="left" w:pos="1310"/>
        </w:tabs>
        <w:ind w:left="1310" w:hanging="420"/>
      </w:pPr>
      <w:rPr>
        <w:rFonts w:hint="eastAsia"/>
      </w:rPr>
    </w:lvl>
    <w:lvl w:ilvl="2" w:tentative="0">
      <w:start w:val="1"/>
      <w:numFmt w:val="lowerRoman"/>
      <w:lvlText w:val="%3."/>
      <w:lvlJc w:val="right"/>
      <w:pPr>
        <w:tabs>
          <w:tab w:val="left" w:pos="1730"/>
        </w:tabs>
        <w:ind w:left="1730" w:hanging="420"/>
      </w:pPr>
      <w:rPr>
        <w:rFonts w:hint="eastAsia"/>
      </w:rPr>
    </w:lvl>
    <w:lvl w:ilvl="3" w:tentative="0">
      <w:start w:val="1"/>
      <w:numFmt w:val="decimal"/>
      <w:lvlText w:val="%4."/>
      <w:lvlJc w:val="left"/>
      <w:pPr>
        <w:tabs>
          <w:tab w:val="left" w:pos="2150"/>
        </w:tabs>
        <w:ind w:left="2150" w:hanging="420"/>
      </w:pPr>
      <w:rPr>
        <w:rFonts w:hint="eastAsia"/>
      </w:rPr>
    </w:lvl>
    <w:lvl w:ilvl="4" w:tentative="0">
      <w:start w:val="1"/>
      <w:numFmt w:val="lowerLetter"/>
      <w:lvlText w:val="%5)"/>
      <w:lvlJc w:val="left"/>
      <w:pPr>
        <w:tabs>
          <w:tab w:val="left" w:pos="2570"/>
        </w:tabs>
        <w:ind w:left="2570" w:hanging="420"/>
      </w:pPr>
      <w:rPr>
        <w:rFonts w:hint="eastAsia"/>
      </w:rPr>
    </w:lvl>
    <w:lvl w:ilvl="5" w:tentative="0">
      <w:start w:val="1"/>
      <w:numFmt w:val="lowerRoman"/>
      <w:lvlText w:val="%6."/>
      <w:lvlJc w:val="right"/>
      <w:pPr>
        <w:tabs>
          <w:tab w:val="left" w:pos="2990"/>
        </w:tabs>
        <w:ind w:left="2990" w:hanging="420"/>
      </w:pPr>
      <w:rPr>
        <w:rFonts w:hint="eastAsia"/>
      </w:rPr>
    </w:lvl>
    <w:lvl w:ilvl="6" w:tentative="0">
      <w:start w:val="1"/>
      <w:numFmt w:val="decimal"/>
      <w:lvlText w:val="%7."/>
      <w:lvlJc w:val="left"/>
      <w:pPr>
        <w:tabs>
          <w:tab w:val="left" w:pos="3410"/>
        </w:tabs>
        <w:ind w:left="3410" w:hanging="420"/>
      </w:pPr>
      <w:rPr>
        <w:rFonts w:hint="eastAsia"/>
      </w:rPr>
    </w:lvl>
    <w:lvl w:ilvl="7" w:tentative="0">
      <w:start w:val="1"/>
      <w:numFmt w:val="lowerLetter"/>
      <w:lvlText w:val="%8)"/>
      <w:lvlJc w:val="left"/>
      <w:pPr>
        <w:tabs>
          <w:tab w:val="left" w:pos="3830"/>
        </w:tabs>
        <w:ind w:left="3830" w:hanging="420"/>
      </w:pPr>
      <w:rPr>
        <w:rFonts w:hint="eastAsia"/>
      </w:rPr>
    </w:lvl>
    <w:lvl w:ilvl="8" w:tentative="0">
      <w:start w:val="1"/>
      <w:numFmt w:val="lowerRoman"/>
      <w:lvlText w:val="%9."/>
      <w:lvlJc w:val="right"/>
      <w:pPr>
        <w:tabs>
          <w:tab w:val="left" w:pos="4250"/>
        </w:tabs>
        <w:ind w:left="4250" w:hanging="420"/>
      </w:pPr>
      <w:rPr>
        <w:rFonts w:hint="eastAsia"/>
      </w:rPr>
    </w:lvl>
  </w:abstractNum>
  <w:abstractNum w:abstractNumId="21">
    <w:nsid w:val="646260FA"/>
    <w:multiLevelType w:val="multilevel"/>
    <w:tmpl w:val="646260FA"/>
    <w:lvl w:ilvl="0" w:tentative="0">
      <w:start w:val="1"/>
      <w:numFmt w:val="decimal"/>
      <w:pStyle w:val="112"/>
      <w:suff w:val="nothing"/>
      <w:lvlText w:val="表%1　"/>
      <w:lvlJc w:val="left"/>
      <w:pPr>
        <w:ind w:left="0" w:firstLine="0"/>
      </w:pPr>
    </w:lvl>
    <w:lvl w:ilvl="1" w:tentative="0">
      <w:start w:val="1"/>
      <w:numFmt w:val="decimal"/>
      <w:lvlText w:val="%1.%2"/>
      <w:lvlJc w:val="left"/>
      <w:pPr>
        <w:tabs>
          <w:tab w:val="left" w:pos="992"/>
        </w:tabs>
        <w:ind w:left="992" w:hanging="567"/>
      </w:pPr>
    </w:lvl>
    <w:lvl w:ilvl="2" w:tentative="0">
      <w:start w:val="1"/>
      <w:numFmt w:val="decimal"/>
      <w:lvlText w:val="%1.%2.%3"/>
      <w:lvlJc w:val="left"/>
      <w:pPr>
        <w:tabs>
          <w:tab w:val="left" w:pos="1417"/>
        </w:tabs>
        <w:ind w:left="1417" w:hanging="567"/>
      </w:pPr>
    </w:lvl>
    <w:lvl w:ilvl="3" w:tentative="0">
      <w:start w:val="1"/>
      <w:numFmt w:val="decimal"/>
      <w:lvlText w:val="%1.%2.%3.%4"/>
      <w:lvlJc w:val="left"/>
      <w:pPr>
        <w:tabs>
          <w:tab w:val="left" w:pos="1984"/>
        </w:tabs>
        <w:ind w:left="1984" w:hanging="708"/>
      </w:pPr>
    </w:lvl>
    <w:lvl w:ilvl="4" w:tentative="0">
      <w:start w:val="1"/>
      <w:numFmt w:val="decimal"/>
      <w:lvlText w:val="%1.%2.%3.%4.%5"/>
      <w:lvlJc w:val="left"/>
      <w:pPr>
        <w:tabs>
          <w:tab w:val="left" w:pos="2551"/>
        </w:tabs>
        <w:ind w:left="2551" w:hanging="850"/>
      </w:pPr>
    </w:lvl>
    <w:lvl w:ilvl="5" w:tentative="0">
      <w:start w:val="1"/>
      <w:numFmt w:val="decimal"/>
      <w:lvlText w:val="%1.%2.%3.%4.%5.%6"/>
      <w:lvlJc w:val="left"/>
      <w:pPr>
        <w:tabs>
          <w:tab w:val="left" w:pos="3260"/>
        </w:tabs>
        <w:ind w:left="3260" w:hanging="1134"/>
      </w:pPr>
    </w:lvl>
    <w:lvl w:ilvl="6" w:tentative="0">
      <w:start w:val="1"/>
      <w:numFmt w:val="decimal"/>
      <w:lvlText w:val="%1.%2.%3.%4.%5.%6.%7"/>
      <w:lvlJc w:val="left"/>
      <w:pPr>
        <w:tabs>
          <w:tab w:val="left" w:pos="3827"/>
        </w:tabs>
        <w:ind w:left="3827" w:hanging="1276"/>
      </w:pPr>
    </w:lvl>
    <w:lvl w:ilvl="7" w:tentative="0">
      <w:start w:val="1"/>
      <w:numFmt w:val="decimal"/>
      <w:lvlText w:val="%1.%2.%3.%4.%5.%6.%7.%8"/>
      <w:lvlJc w:val="left"/>
      <w:pPr>
        <w:tabs>
          <w:tab w:val="left" w:pos="4394"/>
        </w:tabs>
        <w:ind w:left="4394" w:hanging="1418"/>
      </w:pPr>
    </w:lvl>
    <w:lvl w:ilvl="8" w:tentative="0">
      <w:start w:val="1"/>
      <w:numFmt w:val="decimal"/>
      <w:lvlText w:val="%1.%2.%3.%4.%5.%6.%7.%8.%9"/>
      <w:lvlJc w:val="left"/>
      <w:pPr>
        <w:tabs>
          <w:tab w:val="left" w:pos="5102"/>
        </w:tabs>
        <w:ind w:left="5102" w:hanging="1700"/>
      </w:pPr>
    </w:lvl>
  </w:abstractNum>
  <w:abstractNum w:abstractNumId="22">
    <w:nsid w:val="654A26C9"/>
    <w:multiLevelType w:val="multilevel"/>
    <w:tmpl w:val="654A26C9"/>
    <w:lvl w:ilvl="0" w:tentative="0">
      <w:start w:val="1"/>
      <w:numFmt w:val="none"/>
      <w:pStyle w:val="189"/>
      <w:lvlText w:val="──"/>
      <w:lvlJc w:val="left"/>
      <w:pPr>
        <w:ind w:left="851" w:firstLine="0"/>
      </w:pPr>
      <w:rPr>
        <w:rFonts w:hint="eastAsia" w:ascii="宋体" w:eastAsia="宋体" w:hAnsiTheme="majorHAnsi"/>
        <w:b w:val="0"/>
        <w:i w:val="0"/>
        <w:sz w:val="21"/>
      </w:rPr>
    </w:lvl>
    <w:lvl w:ilvl="1" w:tentative="0">
      <w:start w:val="1"/>
      <w:numFmt w:val="bullet"/>
      <w:lvlText w:val=""/>
      <w:lvlJc w:val="left"/>
      <w:pPr>
        <w:ind w:left="1276" w:hanging="425"/>
      </w:pPr>
      <w:rPr>
        <w:rFonts w:hint="default" w:ascii="Wingdings" w:hAnsi="Wingdings"/>
      </w:rPr>
    </w:lvl>
    <w:lvl w:ilvl="2" w:tentative="0">
      <w:start w:val="1"/>
      <w:numFmt w:val="bullet"/>
      <w:lvlText w:val=""/>
      <w:lvlJc w:val="left"/>
      <w:pPr>
        <w:ind w:left="1276" w:hanging="236"/>
      </w:pPr>
      <w:rPr>
        <w:rFonts w:hint="default" w:ascii="Wingdings" w:hAnsi="Wingdings"/>
      </w:rPr>
    </w:lvl>
    <w:lvl w:ilvl="3" w:tentative="0">
      <w:start w:val="1"/>
      <w:numFmt w:val="bullet"/>
      <w:lvlText w:val=""/>
      <w:lvlJc w:val="left"/>
      <w:pPr>
        <w:ind w:left="1880" w:hanging="420"/>
      </w:pPr>
      <w:rPr>
        <w:rFonts w:hint="default" w:ascii="Wingdings" w:hAnsi="Wingdings"/>
      </w:rPr>
    </w:lvl>
    <w:lvl w:ilvl="4" w:tentative="0">
      <w:start w:val="1"/>
      <w:numFmt w:val="bullet"/>
      <w:lvlText w:val=""/>
      <w:lvlJc w:val="left"/>
      <w:pPr>
        <w:ind w:left="2300" w:hanging="420"/>
      </w:pPr>
      <w:rPr>
        <w:rFonts w:hint="default" w:ascii="Wingdings" w:hAnsi="Wingdings"/>
      </w:rPr>
    </w:lvl>
    <w:lvl w:ilvl="5" w:tentative="0">
      <w:start w:val="1"/>
      <w:numFmt w:val="bullet"/>
      <w:lvlText w:val=""/>
      <w:lvlJc w:val="left"/>
      <w:pPr>
        <w:ind w:left="2720" w:hanging="420"/>
      </w:pPr>
      <w:rPr>
        <w:rFonts w:hint="default" w:ascii="Wingdings" w:hAnsi="Wingdings"/>
      </w:rPr>
    </w:lvl>
    <w:lvl w:ilvl="6" w:tentative="0">
      <w:start w:val="1"/>
      <w:numFmt w:val="bullet"/>
      <w:lvlText w:val=""/>
      <w:lvlJc w:val="left"/>
      <w:pPr>
        <w:ind w:left="3140" w:hanging="420"/>
      </w:pPr>
      <w:rPr>
        <w:rFonts w:hint="default" w:ascii="Wingdings" w:hAnsi="Wingdings"/>
      </w:rPr>
    </w:lvl>
    <w:lvl w:ilvl="7" w:tentative="0">
      <w:start w:val="1"/>
      <w:numFmt w:val="bullet"/>
      <w:lvlText w:val=""/>
      <w:lvlJc w:val="left"/>
      <w:pPr>
        <w:ind w:left="3560" w:hanging="420"/>
      </w:pPr>
      <w:rPr>
        <w:rFonts w:hint="default" w:ascii="Wingdings" w:hAnsi="Wingdings"/>
      </w:rPr>
    </w:lvl>
    <w:lvl w:ilvl="8" w:tentative="0">
      <w:start w:val="1"/>
      <w:numFmt w:val="bullet"/>
      <w:lvlText w:val=""/>
      <w:lvlJc w:val="left"/>
      <w:pPr>
        <w:ind w:left="3980" w:hanging="420"/>
      </w:pPr>
      <w:rPr>
        <w:rFonts w:hint="default" w:ascii="Wingdings" w:hAnsi="Wingdings"/>
      </w:rPr>
    </w:lvl>
  </w:abstractNum>
  <w:abstractNum w:abstractNumId="23">
    <w:nsid w:val="657D3FBC"/>
    <w:multiLevelType w:val="multilevel"/>
    <w:tmpl w:val="657D3FBC"/>
    <w:lvl w:ilvl="0" w:tentative="0">
      <w:start w:val="1"/>
      <w:numFmt w:val="upperLetter"/>
      <w:pStyle w:val="76"/>
      <w:suff w:val="nothing"/>
      <w:lvlText w:val="附录%1"/>
      <w:lvlJc w:val="left"/>
      <w:pPr>
        <w:ind w:left="0" w:firstLine="0"/>
      </w:pPr>
      <w:rPr>
        <w:rFonts w:hint="eastAsia"/>
        <w:spacing w:val="100"/>
      </w:rPr>
    </w:lvl>
    <w:lvl w:ilvl="1" w:tentative="0">
      <w:start w:val="1"/>
      <w:numFmt w:val="decimal"/>
      <w:pStyle w:val="78"/>
      <w:suff w:val="nothing"/>
      <w:lvlText w:val="%1.%2　"/>
      <w:lvlJc w:val="left"/>
      <w:pPr>
        <w:ind w:left="0" w:firstLine="0"/>
      </w:pPr>
      <w:rPr>
        <w:rFonts w:hint="eastAsia" w:ascii="黑体" w:eastAsia="黑体"/>
        <w:b w:val="0"/>
        <w:i w:val="0"/>
        <w:sz w:val="21"/>
      </w:rPr>
    </w:lvl>
    <w:lvl w:ilvl="2" w:tentative="0">
      <w:start w:val="1"/>
      <w:numFmt w:val="decimal"/>
      <w:pStyle w:val="79"/>
      <w:suff w:val="nothing"/>
      <w:lvlText w:val="%1.%2.%3　"/>
      <w:lvlJc w:val="left"/>
      <w:pPr>
        <w:ind w:left="0" w:firstLine="0"/>
      </w:pPr>
      <w:rPr>
        <w:rFonts w:hint="eastAsia" w:ascii="黑体" w:eastAsia="黑体"/>
        <w:b w:val="0"/>
        <w:i w:val="0"/>
        <w:sz w:val="21"/>
      </w:rPr>
    </w:lvl>
    <w:lvl w:ilvl="3" w:tentative="0">
      <w:start w:val="1"/>
      <w:numFmt w:val="decimal"/>
      <w:pStyle w:val="81"/>
      <w:suff w:val="nothing"/>
      <w:lvlText w:val="%1.%2.%3.%4　"/>
      <w:lvlJc w:val="left"/>
      <w:pPr>
        <w:ind w:left="0" w:firstLine="0"/>
      </w:pPr>
      <w:rPr>
        <w:rFonts w:hint="eastAsia" w:ascii="黑体" w:eastAsia="黑体"/>
        <w:b w:val="0"/>
        <w:i w:val="0"/>
        <w:sz w:val="21"/>
      </w:rPr>
    </w:lvl>
    <w:lvl w:ilvl="4" w:tentative="0">
      <w:start w:val="1"/>
      <w:numFmt w:val="decimal"/>
      <w:pStyle w:val="82"/>
      <w:suff w:val="nothing"/>
      <w:lvlText w:val="%1.%2.%3.%4.%5　"/>
      <w:lvlJc w:val="left"/>
      <w:pPr>
        <w:ind w:left="0" w:firstLine="0"/>
      </w:pPr>
      <w:rPr>
        <w:rFonts w:hint="eastAsia" w:ascii="黑体" w:eastAsia="黑体"/>
        <w:b w:val="0"/>
        <w:i w:val="0"/>
        <w:sz w:val="21"/>
      </w:rPr>
    </w:lvl>
    <w:lvl w:ilvl="5" w:tentative="0">
      <w:start w:val="1"/>
      <w:numFmt w:val="decimal"/>
      <w:pStyle w:val="84"/>
      <w:suff w:val="nothing"/>
      <w:lvlText w:val="%1.%2.%3.%4.%5.%6　"/>
      <w:lvlJc w:val="left"/>
      <w:pPr>
        <w:ind w:left="0" w:firstLine="0"/>
      </w:pPr>
      <w:rPr>
        <w:rFonts w:hint="eastAsia" w:ascii="黑体" w:eastAsia="黑体"/>
        <w:b w:val="0"/>
        <w:i w:val="0"/>
        <w:sz w:val="21"/>
      </w:rPr>
    </w:lvl>
    <w:lvl w:ilvl="6" w:tentative="0">
      <w:start w:val="1"/>
      <w:numFmt w:val="decimal"/>
      <w:suff w:val="nothing"/>
      <w:lvlText w:val="%1.%2.%3.%4.%5.%6.%7　"/>
      <w:lvlJc w:val="left"/>
      <w:pPr>
        <w:ind w:left="0" w:firstLine="0"/>
      </w:pPr>
      <w:rPr>
        <w:rFonts w:hint="eastAsia"/>
      </w:rPr>
    </w:lvl>
    <w:lvl w:ilvl="7" w:tentative="0">
      <w:start w:val="1"/>
      <w:numFmt w:val="decimal"/>
      <w:lvlText w:val="%1.%2.%3.%4.%5.%6.%7.%8"/>
      <w:lvlJc w:val="left"/>
      <w:pPr>
        <w:tabs>
          <w:tab w:val="left" w:pos="4394"/>
        </w:tabs>
        <w:ind w:left="4394" w:hanging="1418"/>
      </w:pPr>
      <w:rPr>
        <w:rFonts w:hint="eastAsia"/>
      </w:rPr>
    </w:lvl>
    <w:lvl w:ilvl="8" w:tentative="0">
      <w:start w:val="1"/>
      <w:numFmt w:val="decimal"/>
      <w:lvlText w:val="%1.%2.%3.%4.%5.%6.%7.%8.%9"/>
      <w:lvlJc w:val="left"/>
      <w:pPr>
        <w:tabs>
          <w:tab w:val="left" w:pos="5102"/>
        </w:tabs>
        <w:ind w:left="5102" w:hanging="1700"/>
      </w:pPr>
      <w:rPr>
        <w:rFonts w:hint="eastAsia"/>
      </w:rPr>
    </w:lvl>
  </w:abstractNum>
  <w:abstractNum w:abstractNumId="24">
    <w:nsid w:val="69506ABF"/>
    <w:multiLevelType w:val="multilevel"/>
    <w:tmpl w:val="69506ABF"/>
    <w:lvl w:ilvl="0" w:tentative="0">
      <w:start w:val="1"/>
      <w:numFmt w:val="bullet"/>
      <w:pStyle w:val="188"/>
      <w:lvlText w:val=""/>
      <w:lvlJc w:val="left"/>
      <w:pPr>
        <w:ind w:left="851" w:firstLine="0"/>
      </w:pPr>
      <w:rPr>
        <w:rFonts w:hint="default" w:ascii="Wingdings" w:hAnsi="Wingdings"/>
        <w:color w:val="auto"/>
      </w:rPr>
    </w:lvl>
    <w:lvl w:ilvl="1" w:tentative="0">
      <w:start w:val="1"/>
      <w:numFmt w:val="lowerLetter"/>
      <w:lvlText w:val="%2)"/>
      <w:lvlJc w:val="left"/>
      <w:pPr>
        <w:ind w:left="1040" w:hanging="420"/>
      </w:pPr>
      <w:rPr>
        <w:rFonts w:hint="eastAsia"/>
      </w:rPr>
    </w:lvl>
    <w:lvl w:ilvl="2" w:tentative="0">
      <w:start w:val="1"/>
      <w:numFmt w:val="lowerRoman"/>
      <w:lvlText w:val="%3."/>
      <w:lvlJc w:val="right"/>
      <w:pPr>
        <w:ind w:left="1460" w:hanging="420"/>
      </w:pPr>
      <w:rPr>
        <w:rFonts w:hint="eastAsia"/>
      </w:rPr>
    </w:lvl>
    <w:lvl w:ilvl="3" w:tentative="0">
      <w:start w:val="1"/>
      <w:numFmt w:val="decimal"/>
      <w:lvlText w:val="%4."/>
      <w:lvlJc w:val="left"/>
      <w:pPr>
        <w:ind w:left="1880" w:hanging="420"/>
      </w:pPr>
      <w:rPr>
        <w:rFonts w:hint="eastAsia"/>
      </w:rPr>
    </w:lvl>
    <w:lvl w:ilvl="4" w:tentative="0">
      <w:start w:val="1"/>
      <w:numFmt w:val="lowerLetter"/>
      <w:lvlText w:val="%5)"/>
      <w:lvlJc w:val="left"/>
      <w:pPr>
        <w:ind w:left="2300" w:hanging="420"/>
      </w:pPr>
      <w:rPr>
        <w:rFonts w:hint="eastAsia"/>
      </w:rPr>
    </w:lvl>
    <w:lvl w:ilvl="5" w:tentative="0">
      <w:start w:val="1"/>
      <w:numFmt w:val="lowerRoman"/>
      <w:lvlText w:val="%6."/>
      <w:lvlJc w:val="right"/>
      <w:pPr>
        <w:ind w:left="2720" w:hanging="420"/>
      </w:pPr>
      <w:rPr>
        <w:rFonts w:hint="eastAsia"/>
      </w:rPr>
    </w:lvl>
    <w:lvl w:ilvl="6" w:tentative="0">
      <w:start w:val="1"/>
      <w:numFmt w:val="decimal"/>
      <w:lvlText w:val="%7."/>
      <w:lvlJc w:val="left"/>
      <w:pPr>
        <w:ind w:left="3140" w:hanging="420"/>
      </w:pPr>
      <w:rPr>
        <w:rFonts w:hint="eastAsia"/>
      </w:rPr>
    </w:lvl>
    <w:lvl w:ilvl="7" w:tentative="0">
      <w:start w:val="1"/>
      <w:numFmt w:val="lowerLetter"/>
      <w:lvlText w:val="%8)"/>
      <w:lvlJc w:val="left"/>
      <w:pPr>
        <w:ind w:left="3560" w:hanging="420"/>
      </w:pPr>
      <w:rPr>
        <w:rFonts w:hint="eastAsia"/>
      </w:rPr>
    </w:lvl>
    <w:lvl w:ilvl="8" w:tentative="0">
      <w:start w:val="1"/>
      <w:numFmt w:val="lowerRoman"/>
      <w:lvlText w:val="%9."/>
      <w:lvlJc w:val="right"/>
      <w:pPr>
        <w:ind w:left="3980" w:hanging="420"/>
      </w:pPr>
      <w:rPr>
        <w:rFonts w:hint="eastAsia"/>
      </w:rPr>
    </w:lvl>
  </w:abstractNum>
  <w:abstractNum w:abstractNumId="25">
    <w:nsid w:val="6CA41985"/>
    <w:multiLevelType w:val="multilevel"/>
    <w:tmpl w:val="6CA41985"/>
    <w:lvl w:ilvl="0" w:tentative="0">
      <w:start w:val="1"/>
      <w:numFmt w:val="decimal"/>
      <w:pStyle w:val="97"/>
      <w:lvlText w:val="%1)"/>
      <w:lvlJc w:val="left"/>
      <w:pPr>
        <w:tabs>
          <w:tab w:val="left" w:pos="823"/>
        </w:tabs>
        <w:ind w:left="823" w:hanging="420"/>
      </w:pPr>
    </w:lvl>
    <w:lvl w:ilvl="1" w:tentative="0">
      <w:start w:val="1"/>
      <w:numFmt w:val="lowerLetter"/>
      <w:lvlText w:val="%2)"/>
      <w:lvlJc w:val="left"/>
      <w:pPr>
        <w:tabs>
          <w:tab w:val="left" w:pos="840"/>
        </w:tabs>
        <w:ind w:left="840" w:hanging="420"/>
      </w:pPr>
    </w:lvl>
    <w:lvl w:ilvl="2" w:tentative="0">
      <w:start w:val="1"/>
      <w:numFmt w:val="lowerRoman"/>
      <w:lvlText w:val="%3."/>
      <w:lvlJc w:val="right"/>
      <w:pPr>
        <w:tabs>
          <w:tab w:val="left" w:pos="1260"/>
        </w:tabs>
        <w:ind w:left="1260" w:hanging="420"/>
      </w:pPr>
    </w:lvl>
    <w:lvl w:ilvl="3" w:tentative="0">
      <w:start w:val="1"/>
      <w:numFmt w:val="decimal"/>
      <w:lvlText w:val="%4."/>
      <w:lvlJc w:val="left"/>
      <w:pPr>
        <w:tabs>
          <w:tab w:val="left" w:pos="1680"/>
        </w:tabs>
        <w:ind w:left="1680" w:hanging="420"/>
      </w:pPr>
    </w:lvl>
    <w:lvl w:ilvl="4" w:tentative="0">
      <w:start w:val="1"/>
      <w:numFmt w:val="lowerLetter"/>
      <w:lvlText w:val="%5)"/>
      <w:lvlJc w:val="left"/>
      <w:pPr>
        <w:tabs>
          <w:tab w:val="left" w:pos="2100"/>
        </w:tabs>
        <w:ind w:left="2100" w:hanging="420"/>
      </w:pPr>
    </w:lvl>
    <w:lvl w:ilvl="5" w:tentative="0">
      <w:start w:val="1"/>
      <w:numFmt w:val="lowerRoman"/>
      <w:lvlText w:val="%6."/>
      <w:lvlJc w:val="right"/>
      <w:pPr>
        <w:tabs>
          <w:tab w:val="left" w:pos="2520"/>
        </w:tabs>
        <w:ind w:left="2520" w:hanging="420"/>
      </w:pPr>
    </w:lvl>
    <w:lvl w:ilvl="6" w:tentative="0">
      <w:start w:val="1"/>
      <w:numFmt w:val="decimal"/>
      <w:lvlText w:val="%7."/>
      <w:lvlJc w:val="left"/>
      <w:pPr>
        <w:tabs>
          <w:tab w:val="left" w:pos="2940"/>
        </w:tabs>
        <w:ind w:left="2940" w:hanging="420"/>
      </w:pPr>
    </w:lvl>
    <w:lvl w:ilvl="7" w:tentative="0">
      <w:start w:val="1"/>
      <w:numFmt w:val="lowerLetter"/>
      <w:lvlText w:val="%8)"/>
      <w:lvlJc w:val="left"/>
      <w:pPr>
        <w:tabs>
          <w:tab w:val="left" w:pos="3360"/>
        </w:tabs>
        <w:ind w:left="3360" w:hanging="420"/>
      </w:pPr>
    </w:lvl>
    <w:lvl w:ilvl="8" w:tentative="0">
      <w:start w:val="1"/>
      <w:numFmt w:val="lowerRoman"/>
      <w:lvlText w:val="%9."/>
      <w:lvlJc w:val="right"/>
      <w:pPr>
        <w:tabs>
          <w:tab w:val="left" w:pos="3780"/>
        </w:tabs>
        <w:ind w:left="3780" w:hanging="420"/>
      </w:pPr>
    </w:lvl>
  </w:abstractNum>
  <w:abstractNum w:abstractNumId="26">
    <w:nsid w:val="6CE42AC1"/>
    <w:multiLevelType w:val="multilevel"/>
    <w:tmpl w:val="6CE42AC1"/>
    <w:lvl w:ilvl="0" w:tentative="0">
      <w:start w:val="1"/>
      <w:numFmt w:val="lowerLetter"/>
      <w:pStyle w:val="173"/>
      <w:lvlText w:val="%1"/>
      <w:lvlJc w:val="left"/>
      <w:pPr>
        <w:ind w:left="420" w:hanging="420"/>
      </w:pPr>
    </w:lvl>
    <w:lvl w:ilvl="1" w:tentative="0">
      <w:start w:val="1"/>
      <w:numFmt w:val="lowerLetter"/>
      <w:lvlText w:val="%2)"/>
      <w:lvlJc w:val="left"/>
      <w:pPr>
        <w:ind w:left="840" w:hanging="420"/>
      </w:pPr>
    </w:lvl>
    <w:lvl w:ilvl="2" w:tentative="0">
      <w:start w:val="1"/>
      <w:numFmt w:val="lowerRoman"/>
      <w:lvlText w:val="%3."/>
      <w:lvlJc w:val="right"/>
      <w:pPr>
        <w:ind w:left="1260" w:hanging="420"/>
      </w:pPr>
    </w:lvl>
    <w:lvl w:ilvl="3" w:tentative="0">
      <w:start w:val="1"/>
      <w:numFmt w:val="decimal"/>
      <w:lvlText w:val="%4."/>
      <w:lvlJc w:val="left"/>
      <w:pPr>
        <w:ind w:left="1680" w:hanging="420"/>
      </w:pPr>
    </w:lvl>
    <w:lvl w:ilvl="4" w:tentative="0">
      <w:start w:val="1"/>
      <w:numFmt w:val="lowerLetter"/>
      <w:lvlText w:val="%5)"/>
      <w:lvlJc w:val="left"/>
      <w:pPr>
        <w:ind w:left="2100" w:hanging="420"/>
      </w:pPr>
    </w:lvl>
    <w:lvl w:ilvl="5" w:tentative="0">
      <w:start w:val="1"/>
      <w:numFmt w:val="lowerRoman"/>
      <w:lvlText w:val="%6."/>
      <w:lvlJc w:val="right"/>
      <w:pPr>
        <w:ind w:left="2520" w:hanging="420"/>
      </w:pPr>
    </w:lvl>
    <w:lvl w:ilvl="6" w:tentative="0">
      <w:start w:val="1"/>
      <w:numFmt w:val="decimal"/>
      <w:lvlText w:val="%7."/>
      <w:lvlJc w:val="left"/>
      <w:pPr>
        <w:ind w:left="2940" w:hanging="420"/>
      </w:pPr>
    </w:lvl>
    <w:lvl w:ilvl="7" w:tentative="0">
      <w:start w:val="1"/>
      <w:numFmt w:val="lowerLetter"/>
      <w:lvlText w:val="%8)"/>
      <w:lvlJc w:val="left"/>
      <w:pPr>
        <w:ind w:left="3360" w:hanging="420"/>
      </w:pPr>
    </w:lvl>
    <w:lvl w:ilvl="8" w:tentative="0">
      <w:start w:val="1"/>
      <w:numFmt w:val="lowerRoman"/>
      <w:lvlText w:val="%9."/>
      <w:lvlJc w:val="right"/>
      <w:pPr>
        <w:ind w:left="3780" w:hanging="420"/>
      </w:pPr>
    </w:lvl>
  </w:abstractNum>
  <w:abstractNum w:abstractNumId="27">
    <w:nsid w:val="6CEA2025"/>
    <w:multiLevelType w:val="multilevel"/>
    <w:tmpl w:val="6CEA2025"/>
    <w:lvl w:ilvl="0" w:tentative="0">
      <w:start w:val="1"/>
      <w:numFmt w:val="none"/>
      <w:pStyle w:val="152"/>
      <w:suff w:val="nothing"/>
      <w:lvlText w:val="%1"/>
      <w:lvlJc w:val="left"/>
      <w:pPr>
        <w:ind w:left="0" w:firstLine="0"/>
      </w:pPr>
      <w:rPr>
        <w:rFonts w:hint="eastAsia"/>
      </w:rPr>
    </w:lvl>
    <w:lvl w:ilvl="1" w:tentative="0">
      <w:start w:val="1"/>
      <w:numFmt w:val="decimal"/>
      <w:pStyle w:val="104"/>
      <w:suff w:val="nothing"/>
      <w:lvlText w:val="%1%2　"/>
      <w:lvlJc w:val="left"/>
      <w:pPr>
        <w:ind w:left="0" w:firstLine="0"/>
      </w:pPr>
      <w:rPr>
        <w:rFonts w:hint="eastAsia" w:ascii="黑体" w:eastAsia="黑体"/>
        <w:b w:val="0"/>
        <w:i w:val="0"/>
        <w:sz w:val="21"/>
      </w:rPr>
    </w:lvl>
    <w:lvl w:ilvl="2" w:tentative="0">
      <w:start w:val="1"/>
      <w:numFmt w:val="decimal"/>
      <w:pStyle w:val="105"/>
      <w:suff w:val="nothing"/>
      <w:lvlText w:val="%1%2.%3　"/>
      <w:lvlJc w:val="left"/>
      <w:pPr>
        <w:ind w:left="0" w:firstLine="0"/>
      </w:pPr>
      <w:rPr>
        <w:rFonts w:hint="eastAsia" w:ascii="黑体" w:hAnsi="Times New Roman" w:eastAsia="黑体" w:cs="Times New Roman"/>
        <w:b w:val="0"/>
        <w:bCs w:val="0"/>
        <w:i w:val="0"/>
        <w:iCs w:val="0"/>
        <w:caps w:val="0"/>
        <w:smallCaps w:val="0"/>
        <w:strike w:val="0"/>
        <w:dstrike w:val="0"/>
        <w:vanish w:val="0"/>
        <w:color w:val="000000"/>
        <w:spacing w:val="0"/>
        <w:kern w:val="0"/>
        <w:position w:val="0"/>
        <w:sz w:val="21"/>
        <w:u w:val="none"/>
        <w:vertAlign w:val="baseline"/>
        <w14:glow w14:rad="0">
          <w14:srgbClr w14:val="000000"/>
        </w14:glow>
        <w14:shadow w14:blurRad="0" w14:dist="0" w14:dir="0" w14:sx="0" w14:sy="0" w14:kx="0" w14:ky="0" w14:algn="none">
          <w14:srgbClr w14:val="000000"/>
        </w14:shadow>
        <w14:reflection w14:blurRad="0" w14:stA="0" w14:stPos="0" w14:endA="0" w14:endPos="0" w14:dist="0" w14:dir="0" w14:fadeDir="0" w14:sx="0" w14:sy="0" w14:kx="0" w14:ky="0" w14:algn="none"/>
        <w14:props3d w14:extrusionH="0" w14:contourW="0" w14:prstMaterial="none"/>
        <w14:scene3d>
          <w14:lightRig w14:rig="threePt" w14:dir="t">
            <w14:rot w14:lat="0" w14:lon="0" w14:rev="0"/>
          </w14:lightRig>
        </w14:scene3d>
        <w14:ligatures w14:val="none"/>
        <w14:numForm w14:val="default"/>
        <w14:numSpacing w14:val="default"/>
        <w14:cntxtalts w14:val="0"/>
      </w:rPr>
    </w:lvl>
    <w:lvl w:ilvl="3" w:tentative="0">
      <w:start w:val="1"/>
      <w:numFmt w:val="decimal"/>
      <w:pStyle w:val="65"/>
      <w:suff w:val="nothing"/>
      <w:lvlText w:val="%1%2.%3.%4　"/>
      <w:lvlJc w:val="left"/>
      <w:pPr>
        <w:ind w:left="0" w:firstLine="0"/>
      </w:pPr>
      <w:rPr>
        <w:rFonts w:hint="eastAsia" w:ascii="黑体" w:eastAsia="黑体"/>
        <w:b w:val="0"/>
        <w:i w:val="0"/>
        <w:sz w:val="21"/>
      </w:rPr>
    </w:lvl>
    <w:lvl w:ilvl="4" w:tentative="0">
      <w:start w:val="1"/>
      <w:numFmt w:val="decimal"/>
      <w:pStyle w:val="94"/>
      <w:suff w:val="nothing"/>
      <w:lvlText w:val="%1%2.%3.%4.%5　"/>
      <w:lvlJc w:val="left"/>
      <w:pPr>
        <w:ind w:left="0" w:firstLine="0"/>
      </w:pPr>
      <w:rPr>
        <w:rFonts w:hint="eastAsia" w:ascii="黑体" w:eastAsia="黑体"/>
        <w:b w:val="0"/>
        <w:i w:val="0"/>
        <w:sz w:val="21"/>
      </w:rPr>
    </w:lvl>
    <w:lvl w:ilvl="5" w:tentative="0">
      <w:start w:val="1"/>
      <w:numFmt w:val="decimal"/>
      <w:pStyle w:val="98"/>
      <w:suff w:val="nothing"/>
      <w:lvlText w:val="%1%2.%3.%4.%5.%6　"/>
      <w:lvlJc w:val="left"/>
      <w:pPr>
        <w:ind w:left="0" w:firstLine="0"/>
      </w:pPr>
      <w:rPr>
        <w:rFonts w:hint="eastAsia" w:ascii="黑体" w:eastAsia="黑体"/>
        <w:b w:val="0"/>
        <w:i w:val="0"/>
        <w:sz w:val="21"/>
      </w:rPr>
    </w:lvl>
    <w:lvl w:ilvl="6" w:tentative="0">
      <w:start w:val="1"/>
      <w:numFmt w:val="decimal"/>
      <w:pStyle w:val="103"/>
      <w:suff w:val="nothing"/>
      <w:lvlText w:val="%1%2.%3.%4.%5.%6.%7　"/>
      <w:lvlJc w:val="left"/>
      <w:pPr>
        <w:ind w:left="0" w:firstLine="0"/>
      </w:pPr>
      <w:rPr>
        <w:rFonts w:hint="eastAsia" w:ascii="黑体" w:eastAsia="黑体"/>
        <w:b w:val="0"/>
        <w:i w:val="0"/>
        <w:sz w:val="21"/>
      </w:rPr>
    </w:lvl>
    <w:lvl w:ilvl="7" w:tentative="0">
      <w:start w:val="1"/>
      <w:numFmt w:val="decimal"/>
      <w:lvlText w:val="%1.%2.%3.%4.%5.%6.%7.%8"/>
      <w:lvlJc w:val="left"/>
      <w:pPr>
        <w:tabs>
          <w:tab w:val="left" w:pos="4351"/>
        </w:tabs>
        <w:ind w:left="3969" w:hanging="1418"/>
      </w:pPr>
      <w:rPr>
        <w:rFonts w:hint="eastAsia"/>
      </w:rPr>
    </w:lvl>
    <w:lvl w:ilvl="8" w:tentative="0">
      <w:start w:val="1"/>
      <w:numFmt w:val="decimal"/>
      <w:lvlText w:val="%1.%2.%3.%4.%5.%6.%7.%8.%9"/>
      <w:lvlJc w:val="left"/>
      <w:pPr>
        <w:tabs>
          <w:tab w:val="left" w:pos="4777"/>
        </w:tabs>
        <w:ind w:left="4677" w:hanging="1700"/>
      </w:pPr>
      <w:rPr>
        <w:rFonts w:hint="eastAsia"/>
      </w:rPr>
    </w:lvl>
  </w:abstractNum>
  <w:abstractNum w:abstractNumId="28">
    <w:nsid w:val="6DBF04F4"/>
    <w:multiLevelType w:val="multilevel"/>
    <w:tmpl w:val="6DBF04F4"/>
    <w:lvl w:ilvl="0" w:tentative="0">
      <w:start w:val="1"/>
      <w:numFmt w:val="none"/>
      <w:pStyle w:val="179"/>
      <w:lvlText w:val="%1注："/>
      <w:lvlJc w:val="left"/>
      <w:pPr>
        <w:ind w:left="737" w:hanging="374"/>
      </w:pPr>
      <w:rPr>
        <w:rFonts w:hint="eastAsia" w:ascii="黑体" w:eastAsia="黑体"/>
        <w:b w:val="0"/>
        <w:i w:val="0"/>
        <w:sz w:val="18"/>
      </w:rPr>
    </w:lvl>
    <w:lvl w:ilvl="1" w:tentative="0">
      <w:start w:val="1"/>
      <w:numFmt w:val="lowerLetter"/>
      <w:lvlText w:val="%2)"/>
      <w:lvlJc w:val="left"/>
      <w:pPr>
        <w:tabs>
          <w:tab w:val="left" w:pos="1140"/>
        </w:tabs>
        <w:ind w:left="726" w:hanging="363"/>
      </w:pPr>
      <w:rPr>
        <w:rFonts w:hint="eastAsia"/>
      </w:rPr>
    </w:lvl>
    <w:lvl w:ilvl="2" w:tentative="0">
      <w:start w:val="1"/>
      <w:numFmt w:val="lowerRoman"/>
      <w:lvlText w:val="%3."/>
      <w:lvlJc w:val="right"/>
      <w:pPr>
        <w:tabs>
          <w:tab w:val="left" w:pos="1140"/>
        </w:tabs>
        <w:ind w:left="726" w:hanging="363"/>
      </w:pPr>
      <w:rPr>
        <w:rFonts w:hint="eastAsia"/>
      </w:rPr>
    </w:lvl>
    <w:lvl w:ilvl="3" w:tentative="0">
      <w:start w:val="1"/>
      <w:numFmt w:val="decimal"/>
      <w:lvlText w:val="%4."/>
      <w:lvlJc w:val="left"/>
      <w:pPr>
        <w:tabs>
          <w:tab w:val="left" w:pos="1140"/>
        </w:tabs>
        <w:ind w:left="726" w:hanging="363"/>
      </w:pPr>
      <w:rPr>
        <w:rFonts w:hint="eastAsia"/>
      </w:rPr>
    </w:lvl>
    <w:lvl w:ilvl="4" w:tentative="0">
      <w:start w:val="1"/>
      <w:numFmt w:val="lowerLetter"/>
      <w:lvlText w:val="%5)"/>
      <w:lvlJc w:val="left"/>
      <w:pPr>
        <w:tabs>
          <w:tab w:val="left" w:pos="1140"/>
        </w:tabs>
        <w:ind w:left="726" w:hanging="363"/>
      </w:pPr>
      <w:rPr>
        <w:rFonts w:hint="eastAsia"/>
      </w:rPr>
    </w:lvl>
    <w:lvl w:ilvl="5" w:tentative="0">
      <w:start w:val="1"/>
      <w:numFmt w:val="lowerRoman"/>
      <w:lvlText w:val="%6."/>
      <w:lvlJc w:val="right"/>
      <w:pPr>
        <w:tabs>
          <w:tab w:val="left" w:pos="1140"/>
        </w:tabs>
        <w:ind w:left="726" w:hanging="363"/>
      </w:pPr>
      <w:rPr>
        <w:rFonts w:hint="eastAsia"/>
      </w:rPr>
    </w:lvl>
    <w:lvl w:ilvl="6" w:tentative="0">
      <w:start w:val="1"/>
      <w:numFmt w:val="decimal"/>
      <w:lvlText w:val="%7."/>
      <w:lvlJc w:val="left"/>
      <w:pPr>
        <w:tabs>
          <w:tab w:val="left" w:pos="1140"/>
        </w:tabs>
        <w:ind w:left="726" w:hanging="363"/>
      </w:pPr>
      <w:rPr>
        <w:rFonts w:hint="eastAsia"/>
      </w:rPr>
    </w:lvl>
    <w:lvl w:ilvl="7" w:tentative="0">
      <w:start w:val="1"/>
      <w:numFmt w:val="lowerLetter"/>
      <w:lvlText w:val="%8)"/>
      <w:lvlJc w:val="left"/>
      <w:pPr>
        <w:tabs>
          <w:tab w:val="left" w:pos="1140"/>
        </w:tabs>
        <w:ind w:left="726" w:hanging="363"/>
      </w:pPr>
      <w:rPr>
        <w:rFonts w:hint="eastAsia"/>
      </w:rPr>
    </w:lvl>
    <w:lvl w:ilvl="8" w:tentative="0">
      <w:start w:val="1"/>
      <w:numFmt w:val="lowerRoman"/>
      <w:lvlText w:val="%9."/>
      <w:lvlJc w:val="right"/>
      <w:pPr>
        <w:tabs>
          <w:tab w:val="left" w:pos="1140"/>
        </w:tabs>
        <w:ind w:left="726" w:hanging="363"/>
      </w:pPr>
      <w:rPr>
        <w:rFonts w:hint="eastAsia"/>
      </w:rPr>
    </w:lvl>
  </w:abstractNum>
  <w:abstractNum w:abstractNumId="29">
    <w:nsid w:val="6DF35F19"/>
    <w:multiLevelType w:val="multilevel"/>
    <w:tmpl w:val="6DF35F19"/>
    <w:lvl w:ilvl="0" w:tentative="0">
      <w:start w:val="1"/>
      <w:numFmt w:val="decimal"/>
      <w:pStyle w:val="115"/>
      <w:suff w:val="nothing"/>
      <w:lvlText w:val="Table %1　"/>
      <w:lvlJc w:val="left"/>
      <w:pPr>
        <w:ind w:left="0" w:firstLine="0"/>
      </w:pPr>
    </w:lvl>
    <w:lvl w:ilvl="1" w:tentative="0">
      <w:start w:val="1"/>
      <w:numFmt w:val="decimal"/>
      <w:suff w:val="nothing"/>
      <w:lvlText w:val="%1%2　"/>
      <w:lvlJc w:val="left"/>
      <w:pPr>
        <w:ind w:left="0" w:firstLine="0"/>
      </w:pPr>
    </w:lvl>
    <w:lvl w:ilvl="2" w:tentative="0">
      <w:start w:val="1"/>
      <w:numFmt w:val="decimal"/>
      <w:suff w:val="nothing"/>
      <w:lvlText w:val="%1%2.%3　"/>
      <w:lvlJc w:val="left"/>
      <w:pPr>
        <w:ind w:left="0" w:firstLine="0"/>
      </w:pPr>
    </w:lvl>
    <w:lvl w:ilvl="3" w:tentative="0">
      <w:start w:val="1"/>
      <w:numFmt w:val="decimal"/>
      <w:suff w:val="nothing"/>
      <w:lvlText w:val="%1%2.%3.%4　"/>
      <w:lvlJc w:val="left"/>
      <w:pPr>
        <w:ind w:left="0" w:firstLine="0"/>
      </w:pPr>
    </w:lvl>
    <w:lvl w:ilvl="4" w:tentative="0">
      <w:start w:val="1"/>
      <w:numFmt w:val="decimal"/>
      <w:suff w:val="nothing"/>
      <w:lvlText w:val="%1%2.%3.%4.%5　"/>
      <w:lvlJc w:val="left"/>
      <w:pPr>
        <w:ind w:left="0" w:firstLine="0"/>
      </w:pPr>
    </w:lvl>
    <w:lvl w:ilvl="5" w:tentative="0">
      <w:start w:val="1"/>
      <w:numFmt w:val="decimal"/>
      <w:suff w:val="nothing"/>
      <w:lvlText w:val="%1%2.%3.%4.%5.%6　"/>
      <w:lvlJc w:val="left"/>
      <w:pPr>
        <w:ind w:left="0" w:firstLine="0"/>
      </w:pPr>
    </w:lvl>
    <w:lvl w:ilvl="6" w:tentative="0">
      <w:start w:val="1"/>
      <w:numFmt w:val="decimal"/>
      <w:suff w:val="nothing"/>
      <w:lvlText w:val="%1%2.%3.%4.%5.%6.%7　"/>
      <w:lvlJc w:val="left"/>
      <w:pPr>
        <w:ind w:left="0" w:firstLine="0"/>
      </w:pPr>
    </w:lvl>
    <w:lvl w:ilvl="7" w:tentative="0">
      <w:start w:val="1"/>
      <w:numFmt w:val="decimal"/>
      <w:lvlText w:val="%1.%2.%3.%4.%5.%6.%7.%8"/>
      <w:lvlJc w:val="left"/>
      <w:pPr>
        <w:tabs>
          <w:tab w:val="left" w:pos="4348"/>
        </w:tabs>
        <w:ind w:left="3969" w:hanging="1418"/>
      </w:pPr>
    </w:lvl>
    <w:lvl w:ilvl="8" w:tentative="0">
      <w:start w:val="1"/>
      <w:numFmt w:val="decimal"/>
      <w:lvlText w:val="%1.%2.%3.%4.%5.%6.%7.%8.%9"/>
      <w:lvlJc w:val="left"/>
      <w:pPr>
        <w:tabs>
          <w:tab w:val="left" w:pos="4774"/>
        </w:tabs>
        <w:ind w:left="4677" w:hanging="1701"/>
      </w:pPr>
    </w:lvl>
  </w:abstractNum>
  <w:abstractNum w:abstractNumId="30">
    <w:nsid w:val="76933334"/>
    <w:multiLevelType w:val="multilevel"/>
    <w:tmpl w:val="76933334"/>
    <w:lvl w:ilvl="0" w:tentative="0">
      <w:start w:val="1"/>
      <w:numFmt w:val="none"/>
      <w:pStyle w:val="139"/>
      <w:lvlText w:val="%1——"/>
      <w:lvlJc w:val="left"/>
      <w:pPr>
        <w:tabs>
          <w:tab w:val="left" w:pos="330"/>
        </w:tabs>
        <w:ind w:left="948" w:hanging="420"/>
      </w:pPr>
    </w:lvl>
    <w:lvl w:ilvl="1" w:tentative="0">
      <w:start w:val="1"/>
      <w:numFmt w:val="lowerLetter"/>
      <w:lvlText w:val="%2)"/>
      <w:lvlJc w:val="left"/>
      <w:pPr>
        <w:tabs>
          <w:tab w:val="left" w:pos="840"/>
        </w:tabs>
        <w:ind w:left="840" w:hanging="420"/>
      </w:pPr>
    </w:lvl>
    <w:lvl w:ilvl="2" w:tentative="0">
      <w:start w:val="1"/>
      <w:numFmt w:val="lowerRoman"/>
      <w:lvlText w:val="%3."/>
      <w:lvlJc w:val="right"/>
      <w:pPr>
        <w:tabs>
          <w:tab w:val="left" w:pos="1260"/>
        </w:tabs>
        <w:ind w:left="1260" w:hanging="420"/>
      </w:pPr>
    </w:lvl>
    <w:lvl w:ilvl="3" w:tentative="0">
      <w:start w:val="1"/>
      <w:numFmt w:val="decimal"/>
      <w:lvlText w:val="%4."/>
      <w:lvlJc w:val="left"/>
      <w:pPr>
        <w:tabs>
          <w:tab w:val="left" w:pos="1680"/>
        </w:tabs>
        <w:ind w:left="1680" w:hanging="420"/>
      </w:pPr>
    </w:lvl>
    <w:lvl w:ilvl="4" w:tentative="0">
      <w:start w:val="1"/>
      <w:numFmt w:val="lowerLetter"/>
      <w:lvlText w:val="%5)"/>
      <w:lvlJc w:val="left"/>
      <w:pPr>
        <w:tabs>
          <w:tab w:val="left" w:pos="2100"/>
        </w:tabs>
        <w:ind w:left="2100" w:hanging="420"/>
      </w:pPr>
    </w:lvl>
    <w:lvl w:ilvl="5" w:tentative="0">
      <w:start w:val="1"/>
      <w:numFmt w:val="lowerRoman"/>
      <w:lvlText w:val="%6."/>
      <w:lvlJc w:val="right"/>
      <w:pPr>
        <w:tabs>
          <w:tab w:val="left" w:pos="2520"/>
        </w:tabs>
        <w:ind w:left="2520" w:hanging="420"/>
      </w:pPr>
    </w:lvl>
    <w:lvl w:ilvl="6" w:tentative="0">
      <w:start w:val="1"/>
      <w:numFmt w:val="decimal"/>
      <w:lvlText w:val="%7."/>
      <w:lvlJc w:val="left"/>
      <w:pPr>
        <w:tabs>
          <w:tab w:val="left" w:pos="2940"/>
        </w:tabs>
        <w:ind w:left="2940" w:hanging="420"/>
      </w:pPr>
    </w:lvl>
    <w:lvl w:ilvl="7" w:tentative="0">
      <w:start w:val="1"/>
      <w:numFmt w:val="lowerLetter"/>
      <w:lvlText w:val="%8)"/>
      <w:lvlJc w:val="left"/>
      <w:pPr>
        <w:tabs>
          <w:tab w:val="left" w:pos="3360"/>
        </w:tabs>
        <w:ind w:left="3360" w:hanging="420"/>
      </w:pPr>
    </w:lvl>
    <w:lvl w:ilvl="8" w:tentative="0">
      <w:start w:val="1"/>
      <w:numFmt w:val="lowerRoman"/>
      <w:lvlText w:val="%9."/>
      <w:lvlJc w:val="right"/>
      <w:pPr>
        <w:tabs>
          <w:tab w:val="left" w:pos="3780"/>
        </w:tabs>
        <w:ind w:left="3780" w:hanging="420"/>
      </w:pPr>
    </w:lvl>
  </w:abstractNum>
  <w:num w:numId="1">
    <w:abstractNumId w:val="0"/>
  </w:num>
  <w:num w:numId="2">
    <w:abstractNumId w:val="27"/>
  </w:num>
  <w:num w:numId="3">
    <w:abstractNumId w:val="5"/>
  </w:num>
  <w:num w:numId="4">
    <w:abstractNumId w:val="23"/>
  </w:num>
  <w:num w:numId="5">
    <w:abstractNumId w:val="18"/>
  </w:num>
  <w:num w:numId="6">
    <w:abstractNumId w:val="13"/>
  </w:num>
  <w:num w:numId="7">
    <w:abstractNumId w:val="8"/>
  </w:num>
  <w:num w:numId="8">
    <w:abstractNumId w:val="3"/>
  </w:num>
  <w:num w:numId="9">
    <w:abstractNumId w:val="9"/>
  </w:num>
  <w:num w:numId="10">
    <w:abstractNumId w:val="16"/>
  </w:num>
  <w:num w:numId="11">
    <w:abstractNumId w:val="25"/>
  </w:num>
  <w:num w:numId="12">
    <w:abstractNumId w:val="11"/>
  </w:num>
  <w:num w:numId="13">
    <w:abstractNumId w:val="12"/>
  </w:num>
  <w:num w:numId="14">
    <w:abstractNumId w:val="7"/>
  </w:num>
  <w:num w:numId="15">
    <w:abstractNumId w:val="19"/>
  </w:num>
  <w:num w:numId="16">
    <w:abstractNumId w:val="21"/>
  </w:num>
  <w:num w:numId="17">
    <w:abstractNumId w:val="17"/>
  </w:num>
  <w:num w:numId="18">
    <w:abstractNumId w:val="29"/>
  </w:num>
  <w:num w:numId="19">
    <w:abstractNumId w:val="15"/>
  </w:num>
  <w:num w:numId="20">
    <w:abstractNumId w:val="1"/>
  </w:num>
  <w:num w:numId="21">
    <w:abstractNumId w:val="10"/>
  </w:num>
  <w:num w:numId="22">
    <w:abstractNumId w:val="30"/>
  </w:num>
  <w:num w:numId="23">
    <w:abstractNumId w:val="20"/>
  </w:num>
  <w:num w:numId="24">
    <w:abstractNumId w:val="6"/>
  </w:num>
  <w:num w:numId="25">
    <w:abstractNumId w:val="26"/>
  </w:num>
  <w:num w:numId="26">
    <w:abstractNumId w:val="28"/>
  </w:num>
  <w:num w:numId="27">
    <w:abstractNumId w:val="2"/>
  </w:num>
  <w:num w:numId="28">
    <w:abstractNumId w:val="4"/>
  </w:num>
  <w:num w:numId="29">
    <w:abstractNumId w:val="14"/>
  </w:num>
  <w:num w:numId="30">
    <w:abstractNumId w:val="24"/>
  </w:num>
  <w:num w:numId="31">
    <w:abstractNumId w:val="2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30"/>
  <w:bordersDoNotSurroundHeader w:val="false"/>
  <w:bordersDoNotSurroundFooter w:val="false"/>
  <w:attachedTemplate r:id="rId1"/>
  <w:documentProtection w:edit="forms" w:enforcement="1" w:cryptProviderType="rsaAES" w:cryptAlgorithmClass="hash" w:cryptAlgorithmType="typeAny" w:cryptAlgorithmSid="14" w:cryptSpinCount="100000" w:hash="qr+UWzWd/JqRt9jYe35t2mkp0sJlh7w3+gG6sDBV8/e7JHIHCOBK0svJrYEX1i6Dv2JGy+UqE6AEDYbX7CsUXQ==" w:salt="VQ2r4J9rhHiJuCDWmfxLuA=="/>
  <w:defaultTabStop w:val="420"/>
  <w:drawingGridHorizontalSpacing w:val="105"/>
  <w:drawingGridVerticalSpacing w:val="156"/>
  <w:displayHorizontalDrawingGridEvery w:val="1"/>
  <w:displayVerticalDrawingGridEvery w:val="1"/>
  <w:noPunctuationKerning w:val="true"/>
  <w:characterSpacingControl w:val="compressPunctuation"/>
  <w:footnotePr>
    <w:footnote w:id="0"/>
    <w:footnote w:id="1"/>
  </w:footnotePr>
  <w:endnotePr>
    <w:endnote w:id="0"/>
    <w:endnote w:id="1"/>
  </w:endnotePr>
  <w:compat>
    <w:spaceForUL/>
    <w:balanceSingleByteDoubleByteWidth/>
    <w:doNotLeaveBackslashAlone/>
    <w:ulTrailSpace/>
    <w:doNotExpandShiftReturn/>
    <w:adjustLineHeightInTable/>
    <w:doNotWrapTextWithPunct/>
    <w:doNotUseEastAsianBreakRules/>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F4269C"/>
    <w:rsid w:val="0000040A"/>
    <w:rsid w:val="00000A94"/>
    <w:rsid w:val="00001972"/>
    <w:rsid w:val="00001D9A"/>
    <w:rsid w:val="00007B3A"/>
    <w:rsid w:val="000107E0"/>
    <w:rsid w:val="00011FDE"/>
    <w:rsid w:val="00012FFD"/>
    <w:rsid w:val="00014162"/>
    <w:rsid w:val="00014340"/>
    <w:rsid w:val="00016A9C"/>
    <w:rsid w:val="00022184"/>
    <w:rsid w:val="00022762"/>
    <w:rsid w:val="000238E0"/>
    <w:rsid w:val="000249DB"/>
    <w:rsid w:val="0002595E"/>
    <w:rsid w:val="000275A7"/>
    <w:rsid w:val="000303C3"/>
    <w:rsid w:val="000331D3"/>
    <w:rsid w:val="000346A5"/>
    <w:rsid w:val="000359C3"/>
    <w:rsid w:val="00035A7D"/>
    <w:rsid w:val="000410E8"/>
    <w:rsid w:val="0004249A"/>
    <w:rsid w:val="00043282"/>
    <w:rsid w:val="00044286"/>
    <w:rsid w:val="00047F28"/>
    <w:rsid w:val="00047F8C"/>
    <w:rsid w:val="000503AA"/>
    <w:rsid w:val="000506A1"/>
    <w:rsid w:val="000515DD"/>
    <w:rsid w:val="0005265A"/>
    <w:rsid w:val="000539DD"/>
    <w:rsid w:val="00053BD3"/>
    <w:rsid w:val="000556ED"/>
    <w:rsid w:val="00055FE2"/>
    <w:rsid w:val="0005616F"/>
    <w:rsid w:val="00060C2E"/>
    <w:rsid w:val="00061033"/>
    <w:rsid w:val="00061580"/>
    <w:rsid w:val="000619E9"/>
    <w:rsid w:val="000622D4"/>
    <w:rsid w:val="0006357D"/>
    <w:rsid w:val="00067F1E"/>
    <w:rsid w:val="00071CC0"/>
    <w:rsid w:val="00073C8C"/>
    <w:rsid w:val="00077B64"/>
    <w:rsid w:val="00080A1C"/>
    <w:rsid w:val="00082317"/>
    <w:rsid w:val="00083D2C"/>
    <w:rsid w:val="00086AA1"/>
    <w:rsid w:val="00087A77"/>
    <w:rsid w:val="00090CA6"/>
    <w:rsid w:val="00092B8A"/>
    <w:rsid w:val="00092FB0"/>
    <w:rsid w:val="000934C5"/>
    <w:rsid w:val="00093D25"/>
    <w:rsid w:val="00093DAB"/>
    <w:rsid w:val="00094D73"/>
    <w:rsid w:val="00096D63"/>
    <w:rsid w:val="000A0B60"/>
    <w:rsid w:val="000A0EB8"/>
    <w:rsid w:val="000A19FC"/>
    <w:rsid w:val="000A296B"/>
    <w:rsid w:val="000A7311"/>
    <w:rsid w:val="000B060F"/>
    <w:rsid w:val="000B1592"/>
    <w:rsid w:val="000B1FF2"/>
    <w:rsid w:val="000B3CDA"/>
    <w:rsid w:val="000B6A0B"/>
    <w:rsid w:val="000C0F6C"/>
    <w:rsid w:val="000C11DB"/>
    <w:rsid w:val="000C1492"/>
    <w:rsid w:val="000C2FBD"/>
    <w:rsid w:val="000C4B41"/>
    <w:rsid w:val="000C57D6"/>
    <w:rsid w:val="000C7666"/>
    <w:rsid w:val="000D0A9C"/>
    <w:rsid w:val="000D1795"/>
    <w:rsid w:val="000D2F41"/>
    <w:rsid w:val="000D329A"/>
    <w:rsid w:val="000D4B9C"/>
    <w:rsid w:val="000D4EB6"/>
    <w:rsid w:val="000D753B"/>
    <w:rsid w:val="000E4C9E"/>
    <w:rsid w:val="000E6FD7"/>
    <w:rsid w:val="000F06E1"/>
    <w:rsid w:val="000F0E3C"/>
    <w:rsid w:val="000F19D5"/>
    <w:rsid w:val="000F4AEA"/>
    <w:rsid w:val="000F67E9"/>
    <w:rsid w:val="00104926"/>
    <w:rsid w:val="00113B1E"/>
    <w:rsid w:val="0011711C"/>
    <w:rsid w:val="00124E4F"/>
    <w:rsid w:val="001260B7"/>
    <w:rsid w:val="001265CB"/>
    <w:rsid w:val="001321C6"/>
    <w:rsid w:val="001325C4"/>
    <w:rsid w:val="00133010"/>
    <w:rsid w:val="001338EE"/>
    <w:rsid w:val="00133AAE"/>
    <w:rsid w:val="00135323"/>
    <w:rsid w:val="001356C4"/>
    <w:rsid w:val="00141114"/>
    <w:rsid w:val="00142969"/>
    <w:rsid w:val="001457E7"/>
    <w:rsid w:val="00145D9D"/>
    <w:rsid w:val="00146388"/>
    <w:rsid w:val="00146E6C"/>
    <w:rsid w:val="001529E5"/>
    <w:rsid w:val="00153C7E"/>
    <w:rsid w:val="00156B25"/>
    <w:rsid w:val="00156E1A"/>
    <w:rsid w:val="00157B55"/>
    <w:rsid w:val="0016342D"/>
    <w:rsid w:val="001642FA"/>
    <w:rsid w:val="001649EB"/>
    <w:rsid w:val="00164BAF"/>
    <w:rsid w:val="00164FA8"/>
    <w:rsid w:val="00165065"/>
    <w:rsid w:val="00165434"/>
    <w:rsid w:val="0016580B"/>
    <w:rsid w:val="00165F49"/>
    <w:rsid w:val="00166B88"/>
    <w:rsid w:val="0016770A"/>
    <w:rsid w:val="00170804"/>
    <w:rsid w:val="001708E9"/>
    <w:rsid w:val="0017340B"/>
    <w:rsid w:val="00173FB1"/>
    <w:rsid w:val="00176DFD"/>
    <w:rsid w:val="001852C9"/>
    <w:rsid w:val="00190087"/>
    <w:rsid w:val="001913C4"/>
    <w:rsid w:val="0019348F"/>
    <w:rsid w:val="00193A07"/>
    <w:rsid w:val="00194C95"/>
    <w:rsid w:val="00195C34"/>
    <w:rsid w:val="001A1A53"/>
    <w:rsid w:val="001A234A"/>
    <w:rsid w:val="001B06E8"/>
    <w:rsid w:val="001B193E"/>
    <w:rsid w:val="001B71D0"/>
    <w:rsid w:val="001B71EE"/>
    <w:rsid w:val="001C04A8"/>
    <w:rsid w:val="001C2C03"/>
    <w:rsid w:val="001C42F7"/>
    <w:rsid w:val="001C49E5"/>
    <w:rsid w:val="001C680C"/>
    <w:rsid w:val="001C7FEA"/>
    <w:rsid w:val="001D0499"/>
    <w:rsid w:val="001D0BBE"/>
    <w:rsid w:val="001D0ED4"/>
    <w:rsid w:val="001D212F"/>
    <w:rsid w:val="001D29D7"/>
    <w:rsid w:val="001D2DE7"/>
    <w:rsid w:val="001D411C"/>
    <w:rsid w:val="001E1B6A"/>
    <w:rsid w:val="001E2484"/>
    <w:rsid w:val="001E3CC4"/>
    <w:rsid w:val="001E4882"/>
    <w:rsid w:val="001E73AB"/>
    <w:rsid w:val="001F092D"/>
    <w:rsid w:val="001F143A"/>
    <w:rsid w:val="001F1605"/>
    <w:rsid w:val="001F2508"/>
    <w:rsid w:val="001F4816"/>
    <w:rsid w:val="001F69B4"/>
    <w:rsid w:val="001F77C7"/>
    <w:rsid w:val="00200183"/>
    <w:rsid w:val="0020107D"/>
    <w:rsid w:val="00202AA4"/>
    <w:rsid w:val="002031F7"/>
    <w:rsid w:val="002040E6"/>
    <w:rsid w:val="0020527B"/>
    <w:rsid w:val="002059A4"/>
    <w:rsid w:val="00205F2C"/>
    <w:rsid w:val="00210B15"/>
    <w:rsid w:val="002142EA"/>
    <w:rsid w:val="00216FB0"/>
    <w:rsid w:val="002204BB"/>
    <w:rsid w:val="00221B79"/>
    <w:rsid w:val="00221C6B"/>
    <w:rsid w:val="00224596"/>
    <w:rsid w:val="002253A1"/>
    <w:rsid w:val="00225CF8"/>
    <w:rsid w:val="0022718D"/>
    <w:rsid w:val="0022794E"/>
    <w:rsid w:val="00233D64"/>
    <w:rsid w:val="00234784"/>
    <w:rsid w:val="0023482A"/>
    <w:rsid w:val="002359CB"/>
    <w:rsid w:val="00243540"/>
    <w:rsid w:val="0024497B"/>
    <w:rsid w:val="0024515B"/>
    <w:rsid w:val="00246021"/>
    <w:rsid w:val="0024666E"/>
    <w:rsid w:val="00247F52"/>
    <w:rsid w:val="00250B25"/>
    <w:rsid w:val="00250BBE"/>
    <w:rsid w:val="002515C2"/>
    <w:rsid w:val="0025194F"/>
    <w:rsid w:val="0026148A"/>
    <w:rsid w:val="00262696"/>
    <w:rsid w:val="002634BC"/>
    <w:rsid w:val="002643C3"/>
    <w:rsid w:val="00264A0C"/>
    <w:rsid w:val="00267EF4"/>
    <w:rsid w:val="00270CB8"/>
    <w:rsid w:val="00272B08"/>
    <w:rsid w:val="00281BB8"/>
    <w:rsid w:val="00281E9E"/>
    <w:rsid w:val="00285170"/>
    <w:rsid w:val="00285361"/>
    <w:rsid w:val="00292D60"/>
    <w:rsid w:val="00294D34"/>
    <w:rsid w:val="00294E3B"/>
    <w:rsid w:val="00296193"/>
    <w:rsid w:val="00296C66"/>
    <w:rsid w:val="00296EBE"/>
    <w:rsid w:val="002974E3"/>
    <w:rsid w:val="002A084B"/>
    <w:rsid w:val="002A1260"/>
    <w:rsid w:val="002A1589"/>
    <w:rsid w:val="002A1608"/>
    <w:rsid w:val="002A25DC"/>
    <w:rsid w:val="002A3AAB"/>
    <w:rsid w:val="002A4CEA"/>
    <w:rsid w:val="002A5977"/>
    <w:rsid w:val="002A5A13"/>
    <w:rsid w:val="002A757F"/>
    <w:rsid w:val="002A7F44"/>
    <w:rsid w:val="002B0C40"/>
    <w:rsid w:val="002B1966"/>
    <w:rsid w:val="002B23E3"/>
    <w:rsid w:val="002B3725"/>
    <w:rsid w:val="002B4508"/>
    <w:rsid w:val="002B5779"/>
    <w:rsid w:val="002B7332"/>
    <w:rsid w:val="002B7F51"/>
    <w:rsid w:val="002C09E7"/>
    <w:rsid w:val="002C3F07"/>
    <w:rsid w:val="002C5278"/>
    <w:rsid w:val="002C7EBB"/>
    <w:rsid w:val="002D06C1"/>
    <w:rsid w:val="002D42B5"/>
    <w:rsid w:val="002D4F1A"/>
    <w:rsid w:val="002D6DA6"/>
    <w:rsid w:val="002D6EC6"/>
    <w:rsid w:val="002D79AC"/>
    <w:rsid w:val="002E039D"/>
    <w:rsid w:val="002E4D5A"/>
    <w:rsid w:val="002E6326"/>
    <w:rsid w:val="002F30E0"/>
    <w:rsid w:val="002F35E4"/>
    <w:rsid w:val="002F3730"/>
    <w:rsid w:val="002F38E1"/>
    <w:rsid w:val="002F7AF6"/>
    <w:rsid w:val="00300E63"/>
    <w:rsid w:val="00302F5F"/>
    <w:rsid w:val="0030441D"/>
    <w:rsid w:val="00306063"/>
    <w:rsid w:val="00313B85"/>
    <w:rsid w:val="00317988"/>
    <w:rsid w:val="003221B4"/>
    <w:rsid w:val="00322E62"/>
    <w:rsid w:val="00324EDD"/>
    <w:rsid w:val="003331E4"/>
    <w:rsid w:val="00336C64"/>
    <w:rsid w:val="00337162"/>
    <w:rsid w:val="0034194F"/>
    <w:rsid w:val="00342DB8"/>
    <w:rsid w:val="00344605"/>
    <w:rsid w:val="003474AA"/>
    <w:rsid w:val="00350D1D"/>
    <w:rsid w:val="00351901"/>
    <w:rsid w:val="00352C83"/>
    <w:rsid w:val="003615D2"/>
    <w:rsid w:val="0036429C"/>
    <w:rsid w:val="00364A53"/>
    <w:rsid w:val="003654CB"/>
    <w:rsid w:val="00365F86"/>
    <w:rsid w:val="00365F87"/>
    <w:rsid w:val="003705F4"/>
    <w:rsid w:val="00370D58"/>
    <w:rsid w:val="00371316"/>
    <w:rsid w:val="00376713"/>
    <w:rsid w:val="00381815"/>
    <w:rsid w:val="003819AF"/>
    <w:rsid w:val="003820E9"/>
    <w:rsid w:val="00382DE7"/>
    <w:rsid w:val="00384FFC"/>
    <w:rsid w:val="003872FC"/>
    <w:rsid w:val="00387ADC"/>
    <w:rsid w:val="00390020"/>
    <w:rsid w:val="003903D6"/>
    <w:rsid w:val="00390EE6"/>
    <w:rsid w:val="0039118F"/>
    <w:rsid w:val="00392AD7"/>
    <w:rsid w:val="003938D9"/>
    <w:rsid w:val="00394376"/>
    <w:rsid w:val="003943FF"/>
    <w:rsid w:val="003974EB"/>
    <w:rsid w:val="00397CC5"/>
    <w:rsid w:val="003A1582"/>
    <w:rsid w:val="003A4077"/>
    <w:rsid w:val="003B09AD"/>
    <w:rsid w:val="003B0BD9"/>
    <w:rsid w:val="003B1F18"/>
    <w:rsid w:val="003B5BF0"/>
    <w:rsid w:val="003B60BF"/>
    <w:rsid w:val="003B6BE3"/>
    <w:rsid w:val="003C010C"/>
    <w:rsid w:val="003C0A6C"/>
    <w:rsid w:val="003C2859"/>
    <w:rsid w:val="003C5A43"/>
    <w:rsid w:val="003D0519"/>
    <w:rsid w:val="003D0FF6"/>
    <w:rsid w:val="003D262C"/>
    <w:rsid w:val="003D3EEF"/>
    <w:rsid w:val="003D6D61"/>
    <w:rsid w:val="003E091D"/>
    <w:rsid w:val="003E1C53"/>
    <w:rsid w:val="003E2A69"/>
    <w:rsid w:val="003E2D49"/>
    <w:rsid w:val="003E2FD4"/>
    <w:rsid w:val="003E49F6"/>
    <w:rsid w:val="003F0841"/>
    <w:rsid w:val="003F23D3"/>
    <w:rsid w:val="003F3F08"/>
    <w:rsid w:val="003F49F1"/>
    <w:rsid w:val="003F6272"/>
    <w:rsid w:val="003F72A3"/>
    <w:rsid w:val="00400E72"/>
    <w:rsid w:val="00401400"/>
    <w:rsid w:val="00404869"/>
    <w:rsid w:val="00405884"/>
    <w:rsid w:val="00407D39"/>
    <w:rsid w:val="0041477A"/>
    <w:rsid w:val="004167A3"/>
    <w:rsid w:val="00432DAA"/>
    <w:rsid w:val="00434305"/>
    <w:rsid w:val="00435DF7"/>
    <w:rsid w:val="0044083F"/>
    <w:rsid w:val="00441AE7"/>
    <w:rsid w:val="00445574"/>
    <w:rsid w:val="004467FB"/>
    <w:rsid w:val="00452D6B"/>
    <w:rsid w:val="00454484"/>
    <w:rsid w:val="0045517B"/>
    <w:rsid w:val="004563CD"/>
    <w:rsid w:val="00463B77"/>
    <w:rsid w:val="00463C7B"/>
    <w:rsid w:val="00463F02"/>
    <w:rsid w:val="004644A6"/>
    <w:rsid w:val="004659BD"/>
    <w:rsid w:val="00470775"/>
    <w:rsid w:val="004715BD"/>
    <w:rsid w:val="004746B1"/>
    <w:rsid w:val="0047583F"/>
    <w:rsid w:val="00481B13"/>
    <w:rsid w:val="00484936"/>
    <w:rsid w:val="00485C89"/>
    <w:rsid w:val="00486BE3"/>
    <w:rsid w:val="004905E4"/>
    <w:rsid w:val="00490A89"/>
    <w:rsid w:val="00490AB4"/>
    <w:rsid w:val="004920D8"/>
    <w:rsid w:val="00492F02"/>
    <w:rsid w:val="004939AE"/>
    <w:rsid w:val="004A12DF"/>
    <w:rsid w:val="004A1BA8"/>
    <w:rsid w:val="004A4B57"/>
    <w:rsid w:val="004A63FA"/>
    <w:rsid w:val="004B0272"/>
    <w:rsid w:val="004B2701"/>
    <w:rsid w:val="004B2E1B"/>
    <w:rsid w:val="004B3E93"/>
    <w:rsid w:val="004C1FBC"/>
    <w:rsid w:val="004C3F1D"/>
    <w:rsid w:val="004C458D"/>
    <w:rsid w:val="004C7556"/>
    <w:rsid w:val="004C7E9D"/>
    <w:rsid w:val="004C7F67"/>
    <w:rsid w:val="004D076D"/>
    <w:rsid w:val="004D0EF1"/>
    <w:rsid w:val="004D189E"/>
    <w:rsid w:val="004D2253"/>
    <w:rsid w:val="004D4406"/>
    <w:rsid w:val="004D7C42"/>
    <w:rsid w:val="004E0465"/>
    <w:rsid w:val="004E127B"/>
    <w:rsid w:val="004E1C0A"/>
    <w:rsid w:val="004E3014"/>
    <w:rsid w:val="004E30C5"/>
    <w:rsid w:val="004E4AA5"/>
    <w:rsid w:val="004E4AEE"/>
    <w:rsid w:val="004E59E3"/>
    <w:rsid w:val="004E67C0"/>
    <w:rsid w:val="004F391A"/>
    <w:rsid w:val="004F3CFB"/>
    <w:rsid w:val="004F6456"/>
    <w:rsid w:val="004F696E"/>
    <w:rsid w:val="004F6C71"/>
    <w:rsid w:val="00501139"/>
    <w:rsid w:val="00502991"/>
    <w:rsid w:val="0050363E"/>
    <w:rsid w:val="005039BC"/>
    <w:rsid w:val="005043BB"/>
    <w:rsid w:val="00504A3D"/>
    <w:rsid w:val="00505767"/>
    <w:rsid w:val="005073F0"/>
    <w:rsid w:val="00510A7B"/>
    <w:rsid w:val="00512F6E"/>
    <w:rsid w:val="00513038"/>
    <w:rsid w:val="00514174"/>
    <w:rsid w:val="00516088"/>
    <w:rsid w:val="00516B0B"/>
    <w:rsid w:val="005207F4"/>
    <w:rsid w:val="005220EC"/>
    <w:rsid w:val="00523F95"/>
    <w:rsid w:val="00524D65"/>
    <w:rsid w:val="00525B16"/>
    <w:rsid w:val="00533D04"/>
    <w:rsid w:val="00534804"/>
    <w:rsid w:val="00534BDF"/>
    <w:rsid w:val="005354EA"/>
    <w:rsid w:val="00535EC4"/>
    <w:rsid w:val="00535ED9"/>
    <w:rsid w:val="0053692B"/>
    <w:rsid w:val="00541853"/>
    <w:rsid w:val="00543BDA"/>
    <w:rsid w:val="005441CC"/>
    <w:rsid w:val="005479DA"/>
    <w:rsid w:val="00547BCC"/>
    <w:rsid w:val="0055013B"/>
    <w:rsid w:val="00551F6F"/>
    <w:rsid w:val="00555044"/>
    <w:rsid w:val="00561475"/>
    <w:rsid w:val="0056487B"/>
    <w:rsid w:val="00564FB9"/>
    <w:rsid w:val="005667EE"/>
    <w:rsid w:val="00573D9E"/>
    <w:rsid w:val="005801E3"/>
    <w:rsid w:val="00581802"/>
    <w:rsid w:val="005836A8"/>
    <w:rsid w:val="0058409C"/>
    <w:rsid w:val="00584262"/>
    <w:rsid w:val="00586630"/>
    <w:rsid w:val="00587ADD"/>
    <w:rsid w:val="00593544"/>
    <w:rsid w:val="00596160"/>
    <w:rsid w:val="005966E2"/>
    <w:rsid w:val="00597007"/>
    <w:rsid w:val="005A0966"/>
    <w:rsid w:val="005A11B7"/>
    <w:rsid w:val="005A260B"/>
    <w:rsid w:val="005A4A1B"/>
    <w:rsid w:val="005A7830"/>
    <w:rsid w:val="005A7FCE"/>
    <w:rsid w:val="005B0F3F"/>
    <w:rsid w:val="005B4903"/>
    <w:rsid w:val="005B51CE"/>
    <w:rsid w:val="005B5885"/>
    <w:rsid w:val="005B5CD7"/>
    <w:rsid w:val="005B6CF6"/>
    <w:rsid w:val="005B7422"/>
    <w:rsid w:val="005C29B8"/>
    <w:rsid w:val="005C5F21"/>
    <w:rsid w:val="005C7156"/>
    <w:rsid w:val="005D0C75"/>
    <w:rsid w:val="005D1E63"/>
    <w:rsid w:val="005D4171"/>
    <w:rsid w:val="005D6A95"/>
    <w:rsid w:val="005D6B2C"/>
    <w:rsid w:val="005D6D9C"/>
    <w:rsid w:val="005E2335"/>
    <w:rsid w:val="005E34CA"/>
    <w:rsid w:val="005E3C18"/>
    <w:rsid w:val="005E6318"/>
    <w:rsid w:val="005E6812"/>
    <w:rsid w:val="005E7829"/>
    <w:rsid w:val="005E7881"/>
    <w:rsid w:val="005E78E0"/>
    <w:rsid w:val="005F0D9C"/>
    <w:rsid w:val="005F284E"/>
    <w:rsid w:val="006015CE"/>
    <w:rsid w:val="00604784"/>
    <w:rsid w:val="00606419"/>
    <w:rsid w:val="00607D29"/>
    <w:rsid w:val="00612952"/>
    <w:rsid w:val="00614CC1"/>
    <w:rsid w:val="00615A9D"/>
    <w:rsid w:val="00617387"/>
    <w:rsid w:val="006231BD"/>
    <w:rsid w:val="006252D8"/>
    <w:rsid w:val="006259BC"/>
    <w:rsid w:val="0062636B"/>
    <w:rsid w:val="00632182"/>
    <w:rsid w:val="00632AE0"/>
    <w:rsid w:val="00633C17"/>
    <w:rsid w:val="00636E3E"/>
    <w:rsid w:val="006379F7"/>
    <w:rsid w:val="00637E4D"/>
    <w:rsid w:val="00640620"/>
    <w:rsid w:val="00641A1F"/>
    <w:rsid w:val="0064528D"/>
    <w:rsid w:val="00645904"/>
    <w:rsid w:val="00651ACB"/>
    <w:rsid w:val="00651C47"/>
    <w:rsid w:val="00652AB2"/>
    <w:rsid w:val="00654EC0"/>
    <w:rsid w:val="0065525B"/>
    <w:rsid w:val="00655D4F"/>
    <w:rsid w:val="006640E5"/>
    <w:rsid w:val="006646F1"/>
    <w:rsid w:val="00664929"/>
    <w:rsid w:val="00664F62"/>
    <w:rsid w:val="006655E1"/>
    <w:rsid w:val="00672060"/>
    <w:rsid w:val="00672BFD"/>
    <w:rsid w:val="006770F4"/>
    <w:rsid w:val="00677A84"/>
    <w:rsid w:val="0068026D"/>
    <w:rsid w:val="00680A27"/>
    <w:rsid w:val="006816A4"/>
    <w:rsid w:val="006819B8"/>
    <w:rsid w:val="006840A6"/>
    <w:rsid w:val="006850CD"/>
    <w:rsid w:val="00685AAB"/>
    <w:rsid w:val="006A07AA"/>
    <w:rsid w:val="006A25E5"/>
    <w:rsid w:val="006A2B46"/>
    <w:rsid w:val="006A336D"/>
    <w:rsid w:val="006A37B9"/>
    <w:rsid w:val="006B2672"/>
    <w:rsid w:val="006B54BF"/>
    <w:rsid w:val="006B5F44"/>
    <w:rsid w:val="006B5F90"/>
    <w:rsid w:val="006B62E4"/>
    <w:rsid w:val="006B7562"/>
    <w:rsid w:val="006C1BBA"/>
    <w:rsid w:val="006C2079"/>
    <w:rsid w:val="006C317D"/>
    <w:rsid w:val="006C5A62"/>
    <w:rsid w:val="006C5D68"/>
    <w:rsid w:val="006C6976"/>
    <w:rsid w:val="006C6DD0"/>
    <w:rsid w:val="006D04EA"/>
    <w:rsid w:val="006D16C4"/>
    <w:rsid w:val="006D3E96"/>
    <w:rsid w:val="006D4515"/>
    <w:rsid w:val="006D4BB1"/>
    <w:rsid w:val="006D6593"/>
    <w:rsid w:val="006D686E"/>
    <w:rsid w:val="006F03A8"/>
    <w:rsid w:val="006F126C"/>
    <w:rsid w:val="006F2ACA"/>
    <w:rsid w:val="006F2ADC"/>
    <w:rsid w:val="006F2BFE"/>
    <w:rsid w:val="006F31E9"/>
    <w:rsid w:val="006F56E5"/>
    <w:rsid w:val="006F6284"/>
    <w:rsid w:val="007002C5"/>
    <w:rsid w:val="0070348B"/>
    <w:rsid w:val="00704387"/>
    <w:rsid w:val="00707669"/>
    <w:rsid w:val="00711CBA"/>
    <w:rsid w:val="00711FB5"/>
    <w:rsid w:val="00712A01"/>
    <w:rsid w:val="00714C86"/>
    <w:rsid w:val="00714F58"/>
    <w:rsid w:val="00722FBF"/>
    <w:rsid w:val="00722FC2"/>
    <w:rsid w:val="00723B21"/>
    <w:rsid w:val="00725949"/>
    <w:rsid w:val="00727FA2"/>
    <w:rsid w:val="007322D9"/>
    <w:rsid w:val="00732BC0"/>
    <w:rsid w:val="00732F25"/>
    <w:rsid w:val="00732F4E"/>
    <w:rsid w:val="0073720F"/>
    <w:rsid w:val="00737796"/>
    <w:rsid w:val="0074165C"/>
    <w:rsid w:val="00742C35"/>
    <w:rsid w:val="007432CA"/>
    <w:rsid w:val="007439EB"/>
    <w:rsid w:val="00743CB4"/>
    <w:rsid w:val="00743F0A"/>
    <w:rsid w:val="007444E8"/>
    <w:rsid w:val="0074548E"/>
    <w:rsid w:val="00745773"/>
    <w:rsid w:val="00746800"/>
    <w:rsid w:val="00747CF0"/>
    <w:rsid w:val="007501A8"/>
    <w:rsid w:val="00750EE1"/>
    <w:rsid w:val="00752B4D"/>
    <w:rsid w:val="00755402"/>
    <w:rsid w:val="00756B26"/>
    <w:rsid w:val="00756EDF"/>
    <w:rsid w:val="00765C43"/>
    <w:rsid w:val="00765EFB"/>
    <w:rsid w:val="007671CA"/>
    <w:rsid w:val="0076744F"/>
    <w:rsid w:val="00767C61"/>
    <w:rsid w:val="0077008A"/>
    <w:rsid w:val="00773C1F"/>
    <w:rsid w:val="00774DA4"/>
    <w:rsid w:val="00776599"/>
    <w:rsid w:val="0078114B"/>
    <w:rsid w:val="00781DD2"/>
    <w:rsid w:val="00783ECF"/>
    <w:rsid w:val="0078413A"/>
    <w:rsid w:val="007959E8"/>
    <w:rsid w:val="00795E9C"/>
    <w:rsid w:val="007A0521"/>
    <w:rsid w:val="007A2E12"/>
    <w:rsid w:val="007A3475"/>
    <w:rsid w:val="007A41C8"/>
    <w:rsid w:val="007A54CE"/>
    <w:rsid w:val="007A6FD9"/>
    <w:rsid w:val="007A7FFA"/>
    <w:rsid w:val="007B04EB"/>
    <w:rsid w:val="007B0D4F"/>
    <w:rsid w:val="007B2CD6"/>
    <w:rsid w:val="007B5A3D"/>
    <w:rsid w:val="007B5B95"/>
    <w:rsid w:val="007B68EA"/>
    <w:rsid w:val="007B7453"/>
    <w:rsid w:val="007C2D89"/>
    <w:rsid w:val="007C4593"/>
    <w:rsid w:val="007C5309"/>
    <w:rsid w:val="007C6069"/>
    <w:rsid w:val="007D06C4"/>
    <w:rsid w:val="007D1352"/>
    <w:rsid w:val="007D2508"/>
    <w:rsid w:val="007D346A"/>
    <w:rsid w:val="007D6518"/>
    <w:rsid w:val="007D76BD"/>
    <w:rsid w:val="007E0BF1"/>
    <w:rsid w:val="007E0D02"/>
    <w:rsid w:val="007E258B"/>
    <w:rsid w:val="007F0ED8"/>
    <w:rsid w:val="007F0F63"/>
    <w:rsid w:val="007F3748"/>
    <w:rsid w:val="007F75CE"/>
    <w:rsid w:val="008013A4"/>
    <w:rsid w:val="008027CE"/>
    <w:rsid w:val="00802F42"/>
    <w:rsid w:val="00804383"/>
    <w:rsid w:val="00804BB7"/>
    <w:rsid w:val="00810257"/>
    <w:rsid w:val="008104F5"/>
    <w:rsid w:val="00811072"/>
    <w:rsid w:val="00811369"/>
    <w:rsid w:val="00815419"/>
    <w:rsid w:val="008163C8"/>
    <w:rsid w:val="008164A1"/>
    <w:rsid w:val="00817325"/>
    <w:rsid w:val="008209E6"/>
    <w:rsid w:val="00823303"/>
    <w:rsid w:val="008233B2"/>
    <w:rsid w:val="00823A9F"/>
    <w:rsid w:val="00823C85"/>
    <w:rsid w:val="00825138"/>
    <w:rsid w:val="008269DD"/>
    <w:rsid w:val="00830621"/>
    <w:rsid w:val="0083348C"/>
    <w:rsid w:val="008373D3"/>
    <w:rsid w:val="00840617"/>
    <w:rsid w:val="00842A47"/>
    <w:rsid w:val="00843C13"/>
    <w:rsid w:val="008454F8"/>
    <w:rsid w:val="0085173A"/>
    <w:rsid w:val="00854343"/>
    <w:rsid w:val="00860297"/>
    <w:rsid w:val="008603CE"/>
    <w:rsid w:val="008620FC"/>
    <w:rsid w:val="008627A5"/>
    <w:rsid w:val="00863E05"/>
    <w:rsid w:val="0086431E"/>
    <w:rsid w:val="00865ACA"/>
    <w:rsid w:val="00865D28"/>
    <w:rsid w:val="00865F85"/>
    <w:rsid w:val="00867C10"/>
    <w:rsid w:val="00870439"/>
    <w:rsid w:val="00870DA1"/>
    <w:rsid w:val="00883F93"/>
    <w:rsid w:val="00884DB3"/>
    <w:rsid w:val="00885A9D"/>
    <w:rsid w:val="008864F6"/>
    <w:rsid w:val="0089049D"/>
    <w:rsid w:val="008928C9"/>
    <w:rsid w:val="008938DC"/>
    <w:rsid w:val="00893FD1"/>
    <w:rsid w:val="00894836"/>
    <w:rsid w:val="00895172"/>
    <w:rsid w:val="00895680"/>
    <w:rsid w:val="00896DFF"/>
    <w:rsid w:val="0089762C"/>
    <w:rsid w:val="008A1893"/>
    <w:rsid w:val="008A769A"/>
    <w:rsid w:val="008B0C9C"/>
    <w:rsid w:val="008B166D"/>
    <w:rsid w:val="008B17F4"/>
    <w:rsid w:val="008B3615"/>
    <w:rsid w:val="008B4AC4"/>
    <w:rsid w:val="008B50C8"/>
    <w:rsid w:val="008B5281"/>
    <w:rsid w:val="008B7E05"/>
    <w:rsid w:val="008C1797"/>
    <w:rsid w:val="008C219C"/>
    <w:rsid w:val="008C475E"/>
    <w:rsid w:val="008C4767"/>
    <w:rsid w:val="008C4BDE"/>
    <w:rsid w:val="008C619A"/>
    <w:rsid w:val="008D0CE8"/>
    <w:rsid w:val="008D2D1D"/>
    <w:rsid w:val="008D453D"/>
    <w:rsid w:val="008D53AD"/>
    <w:rsid w:val="008D562B"/>
    <w:rsid w:val="008D5733"/>
    <w:rsid w:val="008D622B"/>
    <w:rsid w:val="008D666C"/>
    <w:rsid w:val="008D7B54"/>
    <w:rsid w:val="008E0C9D"/>
    <w:rsid w:val="008E1648"/>
    <w:rsid w:val="008E1B3E"/>
    <w:rsid w:val="008E2319"/>
    <w:rsid w:val="008E4BB6"/>
    <w:rsid w:val="008E5518"/>
    <w:rsid w:val="008E6A84"/>
    <w:rsid w:val="008F0CDC"/>
    <w:rsid w:val="008F17A3"/>
    <w:rsid w:val="008F1ED3"/>
    <w:rsid w:val="008F4C29"/>
    <w:rsid w:val="008F58DC"/>
    <w:rsid w:val="008F70BD"/>
    <w:rsid w:val="008F788F"/>
    <w:rsid w:val="008F7EA2"/>
    <w:rsid w:val="00902722"/>
    <w:rsid w:val="009027BC"/>
    <w:rsid w:val="009062E6"/>
    <w:rsid w:val="00910086"/>
    <w:rsid w:val="00911AF6"/>
    <w:rsid w:val="00911BE5"/>
    <w:rsid w:val="00913CA9"/>
    <w:rsid w:val="009145AE"/>
    <w:rsid w:val="009146CE"/>
    <w:rsid w:val="00914CA7"/>
    <w:rsid w:val="00915C3E"/>
    <w:rsid w:val="009161A8"/>
    <w:rsid w:val="009245F5"/>
    <w:rsid w:val="009249EC"/>
    <w:rsid w:val="009273B3"/>
    <w:rsid w:val="009305B5"/>
    <w:rsid w:val="00941FA3"/>
    <w:rsid w:val="009429D5"/>
    <w:rsid w:val="00942BF1"/>
    <w:rsid w:val="00945180"/>
    <w:rsid w:val="00945428"/>
    <w:rsid w:val="0094607B"/>
    <w:rsid w:val="00953604"/>
    <w:rsid w:val="0095496B"/>
    <w:rsid w:val="009610DC"/>
    <w:rsid w:val="00961490"/>
    <w:rsid w:val="0096381A"/>
    <w:rsid w:val="00965E04"/>
    <w:rsid w:val="009674AD"/>
    <w:rsid w:val="00970CDC"/>
    <w:rsid w:val="00977010"/>
    <w:rsid w:val="00977D02"/>
    <w:rsid w:val="009809BB"/>
    <w:rsid w:val="0098364B"/>
    <w:rsid w:val="009911AF"/>
    <w:rsid w:val="00991875"/>
    <w:rsid w:val="00991F92"/>
    <w:rsid w:val="00992985"/>
    <w:rsid w:val="00993889"/>
    <w:rsid w:val="00994782"/>
    <w:rsid w:val="0099551B"/>
    <w:rsid w:val="00997BF1"/>
    <w:rsid w:val="009A089C"/>
    <w:rsid w:val="009A118E"/>
    <w:rsid w:val="009A21CD"/>
    <w:rsid w:val="009A278C"/>
    <w:rsid w:val="009A2BC2"/>
    <w:rsid w:val="009A42C1"/>
    <w:rsid w:val="009A5429"/>
    <w:rsid w:val="009A72AD"/>
    <w:rsid w:val="009B09E0"/>
    <w:rsid w:val="009B0BC5"/>
    <w:rsid w:val="009B1247"/>
    <w:rsid w:val="009B6029"/>
    <w:rsid w:val="009B6464"/>
    <w:rsid w:val="009B6971"/>
    <w:rsid w:val="009B7BA3"/>
    <w:rsid w:val="009C27F1"/>
    <w:rsid w:val="009C3152"/>
    <w:rsid w:val="009C4CFA"/>
    <w:rsid w:val="009C5070"/>
    <w:rsid w:val="009D112C"/>
    <w:rsid w:val="009D47FA"/>
    <w:rsid w:val="009D50D2"/>
    <w:rsid w:val="009D6BCA"/>
    <w:rsid w:val="009D72B9"/>
    <w:rsid w:val="009E0F62"/>
    <w:rsid w:val="009E1848"/>
    <w:rsid w:val="009E4A58"/>
    <w:rsid w:val="009E5A2D"/>
    <w:rsid w:val="009E5AB2"/>
    <w:rsid w:val="009E6219"/>
    <w:rsid w:val="009F03B3"/>
    <w:rsid w:val="00A01757"/>
    <w:rsid w:val="00A028C0"/>
    <w:rsid w:val="00A02BAE"/>
    <w:rsid w:val="00A05AA6"/>
    <w:rsid w:val="00A06A6B"/>
    <w:rsid w:val="00A07E47"/>
    <w:rsid w:val="00A129D0"/>
    <w:rsid w:val="00A12C33"/>
    <w:rsid w:val="00A138BA"/>
    <w:rsid w:val="00A14C8E"/>
    <w:rsid w:val="00A153D9"/>
    <w:rsid w:val="00A15F09"/>
    <w:rsid w:val="00A169B6"/>
    <w:rsid w:val="00A2271D"/>
    <w:rsid w:val="00A237D5"/>
    <w:rsid w:val="00A30EFC"/>
    <w:rsid w:val="00A31984"/>
    <w:rsid w:val="00A32D73"/>
    <w:rsid w:val="00A3367B"/>
    <w:rsid w:val="00A3597D"/>
    <w:rsid w:val="00A4006C"/>
    <w:rsid w:val="00A40091"/>
    <w:rsid w:val="00A4030F"/>
    <w:rsid w:val="00A41C79"/>
    <w:rsid w:val="00A41CB5"/>
    <w:rsid w:val="00A42CDF"/>
    <w:rsid w:val="00A4307B"/>
    <w:rsid w:val="00A4452E"/>
    <w:rsid w:val="00A4472C"/>
    <w:rsid w:val="00A44E69"/>
    <w:rsid w:val="00A4661E"/>
    <w:rsid w:val="00A55BD6"/>
    <w:rsid w:val="00A55D50"/>
    <w:rsid w:val="00A57142"/>
    <w:rsid w:val="00A61D48"/>
    <w:rsid w:val="00A648CD"/>
    <w:rsid w:val="00A6537A"/>
    <w:rsid w:val="00A67866"/>
    <w:rsid w:val="00A70B07"/>
    <w:rsid w:val="00A723F8"/>
    <w:rsid w:val="00A77CCB"/>
    <w:rsid w:val="00A83D8D"/>
    <w:rsid w:val="00A83E19"/>
    <w:rsid w:val="00A8446B"/>
    <w:rsid w:val="00A8473F"/>
    <w:rsid w:val="00A862D6"/>
    <w:rsid w:val="00A8715E"/>
    <w:rsid w:val="00A87647"/>
    <w:rsid w:val="00A9295B"/>
    <w:rsid w:val="00A93B09"/>
    <w:rsid w:val="00A952D7"/>
    <w:rsid w:val="00A963F7"/>
    <w:rsid w:val="00A96AD8"/>
    <w:rsid w:val="00AA052C"/>
    <w:rsid w:val="00AA1E45"/>
    <w:rsid w:val="00AA30E6"/>
    <w:rsid w:val="00AA4286"/>
    <w:rsid w:val="00AA456B"/>
    <w:rsid w:val="00AA57F5"/>
    <w:rsid w:val="00AA672E"/>
    <w:rsid w:val="00AA6EC9"/>
    <w:rsid w:val="00AB6309"/>
    <w:rsid w:val="00AB6C5F"/>
    <w:rsid w:val="00AB7129"/>
    <w:rsid w:val="00AC27A6"/>
    <w:rsid w:val="00AC30F7"/>
    <w:rsid w:val="00AC3A5A"/>
    <w:rsid w:val="00AC4D95"/>
    <w:rsid w:val="00AC5DF4"/>
    <w:rsid w:val="00AD0AEF"/>
    <w:rsid w:val="00AD11B7"/>
    <w:rsid w:val="00AD1522"/>
    <w:rsid w:val="00AD1A94"/>
    <w:rsid w:val="00AD1C05"/>
    <w:rsid w:val="00AD4126"/>
    <w:rsid w:val="00AD421C"/>
    <w:rsid w:val="00AD44FA"/>
    <w:rsid w:val="00AD5D89"/>
    <w:rsid w:val="00AE070A"/>
    <w:rsid w:val="00AE101C"/>
    <w:rsid w:val="00AE232F"/>
    <w:rsid w:val="00AE5EB4"/>
    <w:rsid w:val="00AF0C18"/>
    <w:rsid w:val="00AF47C5"/>
    <w:rsid w:val="00AF5398"/>
    <w:rsid w:val="00B049AF"/>
    <w:rsid w:val="00B07242"/>
    <w:rsid w:val="00B10534"/>
    <w:rsid w:val="00B113DB"/>
    <w:rsid w:val="00B11D8A"/>
    <w:rsid w:val="00B12981"/>
    <w:rsid w:val="00B147DD"/>
    <w:rsid w:val="00B156FD"/>
    <w:rsid w:val="00B21F61"/>
    <w:rsid w:val="00B261F1"/>
    <w:rsid w:val="00B265BC"/>
    <w:rsid w:val="00B31FB1"/>
    <w:rsid w:val="00B33952"/>
    <w:rsid w:val="00B33C5E"/>
    <w:rsid w:val="00B342F4"/>
    <w:rsid w:val="00B34369"/>
    <w:rsid w:val="00B34DC2"/>
    <w:rsid w:val="00B378E5"/>
    <w:rsid w:val="00B4346D"/>
    <w:rsid w:val="00B440F4"/>
    <w:rsid w:val="00B44432"/>
    <w:rsid w:val="00B447A5"/>
    <w:rsid w:val="00B4654C"/>
    <w:rsid w:val="00B47293"/>
    <w:rsid w:val="00B50E50"/>
    <w:rsid w:val="00B52120"/>
    <w:rsid w:val="00B54ABC"/>
    <w:rsid w:val="00B56FBE"/>
    <w:rsid w:val="00B62B58"/>
    <w:rsid w:val="00B65149"/>
    <w:rsid w:val="00B66567"/>
    <w:rsid w:val="00B66F52"/>
    <w:rsid w:val="00B66FE5"/>
    <w:rsid w:val="00B72880"/>
    <w:rsid w:val="00B758BF"/>
    <w:rsid w:val="00B827A6"/>
    <w:rsid w:val="00B831CE"/>
    <w:rsid w:val="00B86677"/>
    <w:rsid w:val="00B87131"/>
    <w:rsid w:val="00B939B1"/>
    <w:rsid w:val="00B96D40"/>
    <w:rsid w:val="00B97386"/>
    <w:rsid w:val="00B978DB"/>
    <w:rsid w:val="00BA263B"/>
    <w:rsid w:val="00BA42B2"/>
    <w:rsid w:val="00BA58D4"/>
    <w:rsid w:val="00BA5B9E"/>
    <w:rsid w:val="00BA7C9A"/>
    <w:rsid w:val="00BB5F8F"/>
    <w:rsid w:val="00BB657A"/>
    <w:rsid w:val="00BC1A4E"/>
    <w:rsid w:val="00BC5DC7"/>
    <w:rsid w:val="00BC6B41"/>
    <w:rsid w:val="00BC6B8B"/>
    <w:rsid w:val="00BC73D8"/>
    <w:rsid w:val="00BC7AF4"/>
    <w:rsid w:val="00BD52D7"/>
    <w:rsid w:val="00BD5AD2"/>
    <w:rsid w:val="00BE177F"/>
    <w:rsid w:val="00BE22F3"/>
    <w:rsid w:val="00BE5B52"/>
    <w:rsid w:val="00BE7B8D"/>
    <w:rsid w:val="00BF0993"/>
    <w:rsid w:val="00BF10A9"/>
    <w:rsid w:val="00BF1703"/>
    <w:rsid w:val="00BF231C"/>
    <w:rsid w:val="00BF51E5"/>
    <w:rsid w:val="00BF74A6"/>
    <w:rsid w:val="00BF7718"/>
    <w:rsid w:val="00C013AD"/>
    <w:rsid w:val="00C020FB"/>
    <w:rsid w:val="00C04904"/>
    <w:rsid w:val="00C056B3"/>
    <w:rsid w:val="00C103E5"/>
    <w:rsid w:val="00C13319"/>
    <w:rsid w:val="00C13EE9"/>
    <w:rsid w:val="00C21540"/>
    <w:rsid w:val="00C21906"/>
    <w:rsid w:val="00C21BFA"/>
    <w:rsid w:val="00C24C8D"/>
    <w:rsid w:val="00C25FE2"/>
    <w:rsid w:val="00C260F4"/>
    <w:rsid w:val="00C26B53"/>
    <w:rsid w:val="00C279B2"/>
    <w:rsid w:val="00C33E50"/>
    <w:rsid w:val="00C34C20"/>
    <w:rsid w:val="00C35A3E"/>
    <w:rsid w:val="00C42130"/>
    <w:rsid w:val="00C423A4"/>
    <w:rsid w:val="00C44BF5"/>
    <w:rsid w:val="00C521D6"/>
    <w:rsid w:val="00C55232"/>
    <w:rsid w:val="00C553A4"/>
    <w:rsid w:val="00C55A06"/>
    <w:rsid w:val="00C55D03"/>
    <w:rsid w:val="00C601BC"/>
    <w:rsid w:val="00C6329F"/>
    <w:rsid w:val="00C63340"/>
    <w:rsid w:val="00C643F9"/>
    <w:rsid w:val="00C64E95"/>
    <w:rsid w:val="00C71372"/>
    <w:rsid w:val="00C72410"/>
    <w:rsid w:val="00C7287F"/>
    <w:rsid w:val="00C80CB8"/>
    <w:rsid w:val="00C819F8"/>
    <w:rsid w:val="00C8248C"/>
    <w:rsid w:val="00C84E33"/>
    <w:rsid w:val="00C86D6F"/>
    <w:rsid w:val="00C905FC"/>
    <w:rsid w:val="00C92D03"/>
    <w:rsid w:val="00C9319C"/>
    <w:rsid w:val="00C9435D"/>
    <w:rsid w:val="00C96741"/>
    <w:rsid w:val="00CA2D1B"/>
    <w:rsid w:val="00CA662A"/>
    <w:rsid w:val="00CA7AFD"/>
    <w:rsid w:val="00CA7C3C"/>
    <w:rsid w:val="00CB0189"/>
    <w:rsid w:val="00CB0BA2"/>
    <w:rsid w:val="00CB1A42"/>
    <w:rsid w:val="00CB1B0C"/>
    <w:rsid w:val="00CB2C0B"/>
    <w:rsid w:val="00CB517D"/>
    <w:rsid w:val="00CC038D"/>
    <w:rsid w:val="00CC39FF"/>
    <w:rsid w:val="00CC3C2F"/>
    <w:rsid w:val="00CC4AC8"/>
    <w:rsid w:val="00CC5233"/>
    <w:rsid w:val="00CC5DE6"/>
    <w:rsid w:val="00CC6E4E"/>
    <w:rsid w:val="00CC6FE8"/>
    <w:rsid w:val="00CC7202"/>
    <w:rsid w:val="00CD2808"/>
    <w:rsid w:val="00CD28BF"/>
    <w:rsid w:val="00CD4092"/>
    <w:rsid w:val="00CD4A20"/>
    <w:rsid w:val="00CD50A1"/>
    <w:rsid w:val="00CD519E"/>
    <w:rsid w:val="00CD5EEF"/>
    <w:rsid w:val="00CE0C4F"/>
    <w:rsid w:val="00CE30EA"/>
    <w:rsid w:val="00CF048A"/>
    <w:rsid w:val="00CF155A"/>
    <w:rsid w:val="00CF2947"/>
    <w:rsid w:val="00CF4E76"/>
    <w:rsid w:val="00CF5005"/>
    <w:rsid w:val="00CF686F"/>
    <w:rsid w:val="00CF6E60"/>
    <w:rsid w:val="00CF7BCA"/>
    <w:rsid w:val="00D008FD"/>
    <w:rsid w:val="00D0321C"/>
    <w:rsid w:val="00D035EC"/>
    <w:rsid w:val="00D06AB1"/>
    <w:rsid w:val="00D072ED"/>
    <w:rsid w:val="00D07A16"/>
    <w:rsid w:val="00D1067E"/>
    <w:rsid w:val="00D10F50"/>
    <w:rsid w:val="00D11272"/>
    <w:rsid w:val="00D126F5"/>
    <w:rsid w:val="00D1489E"/>
    <w:rsid w:val="00D20737"/>
    <w:rsid w:val="00D21E81"/>
    <w:rsid w:val="00D223DE"/>
    <w:rsid w:val="00D25E37"/>
    <w:rsid w:val="00D2661A"/>
    <w:rsid w:val="00D27582"/>
    <w:rsid w:val="00D32719"/>
    <w:rsid w:val="00D33333"/>
    <w:rsid w:val="00D34CB7"/>
    <w:rsid w:val="00D352A2"/>
    <w:rsid w:val="00D4162B"/>
    <w:rsid w:val="00D4514F"/>
    <w:rsid w:val="00D451E2"/>
    <w:rsid w:val="00D45E89"/>
    <w:rsid w:val="00D45E8D"/>
    <w:rsid w:val="00D466AE"/>
    <w:rsid w:val="00D4734F"/>
    <w:rsid w:val="00D51BF3"/>
    <w:rsid w:val="00D54B98"/>
    <w:rsid w:val="00D56D85"/>
    <w:rsid w:val="00D66846"/>
    <w:rsid w:val="00D675FB"/>
    <w:rsid w:val="00D71F25"/>
    <w:rsid w:val="00D77031"/>
    <w:rsid w:val="00D81136"/>
    <w:rsid w:val="00D84941"/>
    <w:rsid w:val="00D84FA1"/>
    <w:rsid w:val="00D851F0"/>
    <w:rsid w:val="00D86DB7"/>
    <w:rsid w:val="00D9060C"/>
    <w:rsid w:val="00D926D0"/>
    <w:rsid w:val="00D93030"/>
    <w:rsid w:val="00D950E1"/>
    <w:rsid w:val="00D952A6"/>
    <w:rsid w:val="00D97F99"/>
    <w:rsid w:val="00DA1E08"/>
    <w:rsid w:val="00DA24F8"/>
    <w:rsid w:val="00DA28E8"/>
    <w:rsid w:val="00DA38D3"/>
    <w:rsid w:val="00DA3932"/>
    <w:rsid w:val="00DA3AFC"/>
    <w:rsid w:val="00DA64F8"/>
    <w:rsid w:val="00DA6C15"/>
    <w:rsid w:val="00DB38EE"/>
    <w:rsid w:val="00DB498B"/>
    <w:rsid w:val="00DB66CA"/>
    <w:rsid w:val="00DB6BCA"/>
    <w:rsid w:val="00DB7113"/>
    <w:rsid w:val="00DC0321"/>
    <w:rsid w:val="00DC3067"/>
    <w:rsid w:val="00DC370B"/>
    <w:rsid w:val="00DC5B90"/>
    <w:rsid w:val="00DD00FF"/>
    <w:rsid w:val="00DD0619"/>
    <w:rsid w:val="00DD07FB"/>
    <w:rsid w:val="00DD25C6"/>
    <w:rsid w:val="00DD4FE5"/>
    <w:rsid w:val="00DD54B0"/>
    <w:rsid w:val="00DD57EE"/>
    <w:rsid w:val="00DD6BCC"/>
    <w:rsid w:val="00DE0A4B"/>
    <w:rsid w:val="00DE2410"/>
    <w:rsid w:val="00DE2939"/>
    <w:rsid w:val="00DE6E81"/>
    <w:rsid w:val="00DE703F"/>
    <w:rsid w:val="00DE7595"/>
    <w:rsid w:val="00DF1961"/>
    <w:rsid w:val="00DF44DE"/>
    <w:rsid w:val="00DF4A10"/>
    <w:rsid w:val="00E01138"/>
    <w:rsid w:val="00E02DFB"/>
    <w:rsid w:val="00E030F9"/>
    <w:rsid w:val="00E0311A"/>
    <w:rsid w:val="00E03138"/>
    <w:rsid w:val="00E06404"/>
    <w:rsid w:val="00E11A85"/>
    <w:rsid w:val="00E12495"/>
    <w:rsid w:val="00E15CCD"/>
    <w:rsid w:val="00E15D9E"/>
    <w:rsid w:val="00E202EF"/>
    <w:rsid w:val="00E210B5"/>
    <w:rsid w:val="00E2552F"/>
    <w:rsid w:val="00E3137A"/>
    <w:rsid w:val="00E32213"/>
    <w:rsid w:val="00E32CCF"/>
    <w:rsid w:val="00E33542"/>
    <w:rsid w:val="00E34A98"/>
    <w:rsid w:val="00E35D1E"/>
    <w:rsid w:val="00E364F9"/>
    <w:rsid w:val="00E365FA"/>
    <w:rsid w:val="00E36789"/>
    <w:rsid w:val="00E44A83"/>
    <w:rsid w:val="00E502C1"/>
    <w:rsid w:val="00E502DD"/>
    <w:rsid w:val="00E50D3A"/>
    <w:rsid w:val="00E51387"/>
    <w:rsid w:val="00E51E68"/>
    <w:rsid w:val="00E52EFD"/>
    <w:rsid w:val="00E5408A"/>
    <w:rsid w:val="00E56800"/>
    <w:rsid w:val="00E62FF9"/>
    <w:rsid w:val="00E635D6"/>
    <w:rsid w:val="00E639BC"/>
    <w:rsid w:val="00E664CC"/>
    <w:rsid w:val="00E70388"/>
    <w:rsid w:val="00E70B15"/>
    <w:rsid w:val="00E70F92"/>
    <w:rsid w:val="00E74C54"/>
    <w:rsid w:val="00E77A03"/>
    <w:rsid w:val="00E822E8"/>
    <w:rsid w:val="00E82554"/>
    <w:rsid w:val="00E82606"/>
    <w:rsid w:val="00E846C8"/>
    <w:rsid w:val="00E84957"/>
    <w:rsid w:val="00E84A55"/>
    <w:rsid w:val="00E85BFF"/>
    <w:rsid w:val="00E90391"/>
    <w:rsid w:val="00E906C2"/>
    <w:rsid w:val="00E9070B"/>
    <w:rsid w:val="00E9311F"/>
    <w:rsid w:val="00E934D1"/>
    <w:rsid w:val="00E94AF0"/>
    <w:rsid w:val="00E95D13"/>
    <w:rsid w:val="00E95DD3"/>
    <w:rsid w:val="00E969D5"/>
    <w:rsid w:val="00EA58D1"/>
    <w:rsid w:val="00EA61BC"/>
    <w:rsid w:val="00EA681A"/>
    <w:rsid w:val="00EA735B"/>
    <w:rsid w:val="00EB1E69"/>
    <w:rsid w:val="00EB2086"/>
    <w:rsid w:val="00EB2401"/>
    <w:rsid w:val="00EB5EDF"/>
    <w:rsid w:val="00EB60FE"/>
    <w:rsid w:val="00EB74DB"/>
    <w:rsid w:val="00EC5359"/>
    <w:rsid w:val="00EC562A"/>
    <w:rsid w:val="00ED067A"/>
    <w:rsid w:val="00ED2B50"/>
    <w:rsid w:val="00EE0350"/>
    <w:rsid w:val="00EE0719"/>
    <w:rsid w:val="00EE0E80"/>
    <w:rsid w:val="00EE613F"/>
    <w:rsid w:val="00EE7295"/>
    <w:rsid w:val="00EE7869"/>
    <w:rsid w:val="00EF054A"/>
    <w:rsid w:val="00EF3235"/>
    <w:rsid w:val="00EF7E72"/>
    <w:rsid w:val="00F01542"/>
    <w:rsid w:val="00F06D37"/>
    <w:rsid w:val="00F07B9D"/>
    <w:rsid w:val="00F10926"/>
    <w:rsid w:val="00F11586"/>
    <w:rsid w:val="00F1183B"/>
    <w:rsid w:val="00F11899"/>
    <w:rsid w:val="00F11C9F"/>
    <w:rsid w:val="00F12263"/>
    <w:rsid w:val="00F1409D"/>
    <w:rsid w:val="00F14214"/>
    <w:rsid w:val="00F157A9"/>
    <w:rsid w:val="00F25BB6"/>
    <w:rsid w:val="00F26B7E"/>
    <w:rsid w:val="00F27A3B"/>
    <w:rsid w:val="00F33817"/>
    <w:rsid w:val="00F3447F"/>
    <w:rsid w:val="00F420D5"/>
    <w:rsid w:val="00F4269C"/>
    <w:rsid w:val="00F451EA"/>
    <w:rsid w:val="00F45447"/>
    <w:rsid w:val="00F456C6"/>
    <w:rsid w:val="00F4577B"/>
    <w:rsid w:val="00F46496"/>
    <w:rsid w:val="00F474D0"/>
    <w:rsid w:val="00F50179"/>
    <w:rsid w:val="00F56511"/>
    <w:rsid w:val="00F6194E"/>
    <w:rsid w:val="00F623AC"/>
    <w:rsid w:val="00F6412A"/>
    <w:rsid w:val="00F65893"/>
    <w:rsid w:val="00F66A4A"/>
    <w:rsid w:val="00F71E22"/>
    <w:rsid w:val="00F72142"/>
    <w:rsid w:val="00F72AE7"/>
    <w:rsid w:val="00F77D98"/>
    <w:rsid w:val="00F833BA"/>
    <w:rsid w:val="00F84FD0"/>
    <w:rsid w:val="00F859A8"/>
    <w:rsid w:val="00F9108B"/>
    <w:rsid w:val="00F91349"/>
    <w:rsid w:val="00F93A8A"/>
    <w:rsid w:val="00F95248"/>
    <w:rsid w:val="00F956A9"/>
    <w:rsid w:val="00F963ED"/>
    <w:rsid w:val="00F966CF"/>
    <w:rsid w:val="00F96CAE"/>
    <w:rsid w:val="00F97C99"/>
    <w:rsid w:val="00FA662D"/>
    <w:rsid w:val="00FA6730"/>
    <w:rsid w:val="00FA73B1"/>
    <w:rsid w:val="00FB0CB9"/>
    <w:rsid w:val="00FB45F1"/>
    <w:rsid w:val="00FB4A72"/>
    <w:rsid w:val="00FB54E8"/>
    <w:rsid w:val="00FB7054"/>
    <w:rsid w:val="00FC17B7"/>
    <w:rsid w:val="00FC2CB7"/>
    <w:rsid w:val="00FC4090"/>
    <w:rsid w:val="00FC55B4"/>
    <w:rsid w:val="00FD00E6"/>
    <w:rsid w:val="00FD03A2"/>
    <w:rsid w:val="00FD09A1"/>
    <w:rsid w:val="00FD2A7C"/>
    <w:rsid w:val="00FD59EB"/>
    <w:rsid w:val="00FD7299"/>
    <w:rsid w:val="00FE1FBE"/>
    <w:rsid w:val="00FE3901"/>
    <w:rsid w:val="00FE39D3"/>
    <w:rsid w:val="00FE4BCE"/>
    <w:rsid w:val="00FE54AE"/>
    <w:rsid w:val="00FE576A"/>
    <w:rsid w:val="00FE7E79"/>
    <w:rsid w:val="00FF3E7D"/>
    <w:rsid w:val="00FF5B99"/>
    <w:rsid w:val="00FF730C"/>
    <w:rsid w:val="00FF73F4"/>
    <w:rsid w:val="00FF7CE4"/>
    <w:rsid w:val="00FF7E39"/>
    <w:rsid w:val="17F9F987"/>
    <w:rsid w:val="2FFE4D80"/>
    <w:rsid w:val="4F7D9810"/>
    <w:rsid w:val="55EFD320"/>
    <w:rsid w:val="5FEF84ED"/>
    <w:rsid w:val="6FDF76EF"/>
    <w:rsid w:val="6FEFAA6A"/>
    <w:rsid w:val="6FF65D70"/>
    <w:rsid w:val="7773EE36"/>
    <w:rsid w:val="777FE065"/>
    <w:rsid w:val="77F931AD"/>
    <w:rsid w:val="78DF962D"/>
    <w:rsid w:val="7AF51B48"/>
    <w:rsid w:val="7B67FC60"/>
    <w:rsid w:val="7D5ED0DD"/>
    <w:rsid w:val="7EBC7DE4"/>
    <w:rsid w:val="9DFFD2F4"/>
    <w:rsid w:val="BF7F7CDD"/>
    <w:rsid w:val="CD0DB9F6"/>
    <w:rsid w:val="CF7F4907"/>
    <w:rsid w:val="D9EE72AD"/>
    <w:rsid w:val="FB7F4094"/>
    <w:rsid w:val="FEFD9021"/>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fillcolor="#FFFFFF" fill="t" stroke="t">
      <v:fill on="t" focussize="0,0"/>
      <v:stroke color="#000000"/>
    </o:shapedefaults>
    <o:shapelayout v:ext="edit">
      <o:idmap v:ext="edit" data="2"/>
    </o:shapelayout>
  </w:shapeDefaul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nhideWhenUsed="0" w:uiPriority="0" w:semiHidden="0" w:name="heading 2"/>
    <w:lsdException w:qFormat="1" w:unhideWhenUsed="0" w:uiPriority="0" w:semiHidden="0" w:name="heading 3"/>
    <w:lsdException w:qFormat="1" w:unhideWhenUsed="0" w:uiPriority="0" w:semiHidden="0" w:name="heading 4"/>
    <w:lsdException w:qFormat="1" w:unhideWhenUsed="0" w:uiPriority="0" w:semiHidden="0" w:name="heading 5"/>
    <w:lsdException w:qFormat="1" w:unhideWhenUsed="0" w:uiPriority="0" w:semiHidden="0" w:name="heading 6"/>
    <w:lsdException w:qFormat="1" w:unhideWhenUsed="0" w:uiPriority="0" w:semiHidden="0" w:name="heading 7"/>
    <w:lsdException w:qFormat="1" w:unhideWhenUsed="0" w:uiPriority="0" w:semiHidden="0" w:name="heading 8"/>
    <w:lsdException w:qFormat="1" w:unhideWhenUsed="0" w:uiPriority="0" w:semiHidden="0" w:name="heading 9"/>
    <w:lsdException w:uiPriority="99" w:name="index 1"/>
    <w:lsdException w:uiPriority="99" w:name="index 2"/>
    <w:lsdException w:uiPriority="99" w:name="index 3"/>
    <w:lsdException w:uiPriority="99" w:name="index 4"/>
    <w:lsdException w:uiPriority="99" w:name="index 5"/>
    <w:lsdException w:uiPriority="99" w:name="index 6"/>
    <w:lsdException w:uiPriority="99" w:name="index 7"/>
    <w:lsdException w:uiPriority="99" w:name="index 8"/>
    <w:lsdException w:uiPriority="99" w:name="index 9"/>
    <w:lsdException w:qFormat="1" w:uiPriority="39" w:semiHidden="0" w:name="toc 1"/>
    <w:lsdException w:qFormat="1" w:uiPriority="39" w:semiHidden="0" w:name="toc 2"/>
    <w:lsdException w:qFormat="1" w:uiPriority="39" w:semiHidden="0" w:name="toc 3"/>
    <w:lsdException w:qFormat="1" w:uiPriority="39" w:semiHidden="0" w:name="toc 4"/>
    <w:lsdException w:qFormat="1" w:uiPriority="39" w:semiHidden="0" w:name="toc 5"/>
    <w:lsdException w:qFormat="1" w:uiPriority="39" w:semiHidden="0" w:name="toc 6"/>
    <w:lsdException w:qFormat="1" w:uiPriority="39" w:semiHidden="0" w:name="toc 7"/>
    <w:lsdException w:uiPriority="0" w:name="toc 8"/>
    <w:lsdException w:uiPriority="0" w:name="toc 9"/>
    <w:lsdException w:qFormat="1" w:unhideWhenUsed="0" w:uiPriority="0" w:semiHidden="0" w:name="Normal Indent"/>
    <w:lsdException w:qFormat="1" w:unhideWhenUsed="0" w:uiPriority="0" w:name="footnote text"/>
    <w:lsdException w:uiPriority="99" w:name="annotation text"/>
    <w:lsdException w:qFormat="1" w:unhideWhenUsed="0" w:uiPriority="99" w:semiHidden="0" w:name="header"/>
    <w:lsdException w:qFormat="1" w:unhideWhenUsed="0" w:uiPriority="99" w:semiHidden="0" w:name="footer"/>
    <w:lsdException w:uiPriority="99" w:name="index heading"/>
    <w:lsdException w:qFormat="1" w:uiPriority="35" w:name="caption"/>
    <w:lsdException w:qFormat="1" w:unhideWhenUsed="0" w:uiPriority="0" w:name="table of figures"/>
    <w:lsdException w:uiPriority="99" w:name="envelope address"/>
    <w:lsdException w:uiPriority="99" w:name="envelope return"/>
    <w:lsdException w:qFormat="1" w:unhideWhenUsed="0" w:uiPriority="0" w:name="footnote reference"/>
    <w:lsdException w:uiPriority="99" w:name="annotation reference"/>
    <w:lsdException w:uiPriority="99" w:name="line number"/>
    <w:lsdException w:qFormat="1" w:unhideWhenUsed="0" w:uiPriority="0" w:semiHidden="0" w:name="page number"/>
    <w:lsdException w:uiPriority="99" w:name="endnote reference"/>
    <w:lsdException w:uiPriority="99" w:name="endnote text"/>
    <w:lsdException w:uiPriority="99" w:name="table of authorities"/>
    <w:lsdException w:uiPriority="99" w:name="macro"/>
    <w:lsdException w:uiPriority="99" w:name="toa heading"/>
    <w:lsdException w:uiPriority="99" w:name="List"/>
    <w:lsdException w:uiPriority="99" w:name="List Bullet"/>
    <w:lsdException w:uiPriority="99" w:name="List Number"/>
    <w:lsdException w:uiPriority="99"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0" w:semiHidden="0" w:name="Title"/>
    <w:lsdException w:uiPriority="99" w:name="Closing"/>
    <w:lsdException w:uiPriority="99" w:name="Signature"/>
    <w:lsdException w:qFormat="1" w:uiPriority="1" w:semiHidden="0" w:name="Default Paragraph Font"/>
    <w:lsdException w:qFormat="1" w:unhideWhenUsed="0" w:uiPriority="0" w:semiHidden="0" w:name="Body Text"/>
    <w:lsdException w:uiPriority="99"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11" w:semiHidden="0" w:name="Subtitle"/>
    <w:lsdException w:uiPriority="99" w:name="Salutation"/>
    <w:lsdException w:uiPriority="99" w:name="Date"/>
    <w:lsdException w:uiPriority="99" w:name="Body Text First Indent"/>
    <w:lsdException w:uiPriority="99" w:name="Body Text First Indent 2"/>
    <w:lsdException w:uiPriority="99" w:name="Note Heading"/>
    <w:lsdException w:uiPriority="99" w:name="Body Text 2"/>
    <w:lsdException w:uiPriority="99" w:name="Body Text 3"/>
    <w:lsdException w:uiPriority="99" w:name="Body Text Indent 2"/>
    <w:lsdException w:uiPriority="99" w:name="Body Text Indent 3"/>
    <w:lsdException w:uiPriority="99" w:name="Block Text"/>
    <w:lsdException w:qFormat="1" w:unhideWhenUsed="0" w:uiPriority="99" w:semiHidden="0" w:name="Hyperlink"/>
    <w:lsdException w:uiPriority="99" w:name="FollowedHyperlink"/>
    <w:lsdException w:qFormat="1" w:unhideWhenUsed="0" w:uiPriority="22" w:semiHidden="0" w:name="Strong"/>
    <w:lsdException w:qFormat="1" w:unhideWhenUsed="0" w:uiPriority="20" w:semiHidden="0" w:name="Emphasis"/>
    <w:lsdException w:uiPriority="99" w:name="Document Map"/>
    <w:lsdException w:uiPriority="99" w:name="Plain Text"/>
    <w:lsdException w:uiPriority="99" w:name="E-mail Signature"/>
    <w:lsdException w:uiPriority="99" w:name="Normal (Web)"/>
    <w:lsdException w:uiPriority="99" w:name="HTML Acronym"/>
    <w:lsdException w:uiPriority="99" w:name="HTML Address"/>
    <w:lsdException w:uiPriority="99" w:name="HTML Cite"/>
    <w:lsdException w:uiPriority="99" w:name="HTML Code"/>
    <w:lsdException w:uiPriority="99" w:name="HTML Definition"/>
    <w:lsdException w:uiPriority="99" w:name="HTML Keyboard"/>
    <w:lsdException w:uiPriority="99" w:name="HTML Preformatted"/>
    <w:lsdException w:uiPriority="99" w:name="HTML Sample"/>
    <w:lsdException w:uiPriority="99" w:name="HTML Typewriter"/>
    <w:lsdException w:uiPriority="99" w:name="HTML Variable"/>
    <w:lsdException w:qFormat="1" w:uiPriority="99" w:name="Normal Table"/>
    <w:lsdException w:uiPriority="99"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qFormat="1" w:uiPriority="99" w:name="Balloon Text"/>
    <w:lsdException w:qFormat="1" w:unhideWhenUsed="0" w:uiPriority="39" w:semiHidden="0" w:name="Table Grid"/>
    <w:lsdException w:uiPriority="99" w:name="Table Theme"/>
    <w:lsdException w:qFormat="1" w:unhideWhenUsed="0" w:uiPriority="99" w:name="Placeholder Text"/>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nhideWhenUsed="0" w:uiPriority="29" w:semiHidden="0" w:name="Quote"/>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adjustRightInd w:val="0"/>
      <w:spacing w:line="400" w:lineRule="exact"/>
      <w:jc w:val="both"/>
    </w:pPr>
    <w:rPr>
      <w:rFonts w:ascii="Calibri" w:hAnsi="Calibri" w:eastAsia="宋体" w:cs="Times New Roman"/>
      <w:kern w:val="2"/>
      <w:sz w:val="21"/>
      <w:szCs w:val="21"/>
      <w:lang w:val="en-US" w:eastAsia="zh-CN" w:bidi="ar-SA"/>
    </w:rPr>
  </w:style>
  <w:style w:type="paragraph" w:styleId="2">
    <w:name w:val="heading 1"/>
    <w:basedOn w:val="1"/>
    <w:next w:val="1"/>
    <w:link w:val="34"/>
    <w:qFormat/>
    <w:uiPriority w:val="0"/>
    <w:pPr>
      <w:keepNext/>
      <w:keepLines/>
      <w:spacing w:before="340" w:after="330" w:line="578" w:lineRule="auto"/>
      <w:outlineLvl w:val="0"/>
    </w:pPr>
    <w:rPr>
      <w:b/>
      <w:bCs/>
      <w:kern w:val="44"/>
      <w:sz w:val="44"/>
      <w:szCs w:val="44"/>
    </w:rPr>
  </w:style>
  <w:style w:type="paragraph" w:styleId="3">
    <w:name w:val="heading 2"/>
    <w:basedOn w:val="1"/>
    <w:next w:val="1"/>
    <w:link w:val="35"/>
    <w:qFormat/>
    <w:uiPriority w:val="0"/>
    <w:pPr>
      <w:keepNext/>
      <w:keepLines/>
      <w:spacing w:before="260" w:after="260" w:line="416" w:lineRule="auto"/>
      <w:outlineLvl w:val="1"/>
    </w:pPr>
    <w:rPr>
      <w:rFonts w:ascii="Arial" w:hAnsi="Arial" w:eastAsia="黑体"/>
      <w:b/>
      <w:bCs/>
      <w:sz w:val="32"/>
      <w:szCs w:val="32"/>
    </w:rPr>
  </w:style>
  <w:style w:type="paragraph" w:styleId="4">
    <w:name w:val="heading 3"/>
    <w:basedOn w:val="1"/>
    <w:next w:val="1"/>
    <w:link w:val="36"/>
    <w:qFormat/>
    <w:uiPriority w:val="0"/>
    <w:pPr>
      <w:keepNext/>
      <w:keepLines/>
      <w:spacing w:before="260" w:after="260" w:line="416" w:lineRule="auto"/>
      <w:outlineLvl w:val="2"/>
    </w:pPr>
    <w:rPr>
      <w:b/>
      <w:bCs/>
      <w:sz w:val="32"/>
      <w:szCs w:val="32"/>
    </w:rPr>
  </w:style>
  <w:style w:type="paragraph" w:styleId="5">
    <w:name w:val="heading 4"/>
    <w:basedOn w:val="1"/>
    <w:next w:val="1"/>
    <w:link w:val="37"/>
    <w:qFormat/>
    <w:uiPriority w:val="0"/>
    <w:pPr>
      <w:keepNext/>
      <w:keepLines/>
      <w:spacing w:before="280" w:after="290" w:line="376" w:lineRule="auto"/>
      <w:outlineLvl w:val="3"/>
    </w:pPr>
    <w:rPr>
      <w:rFonts w:ascii="Arial" w:hAnsi="Arial" w:eastAsia="黑体"/>
      <w:b/>
      <w:bCs/>
      <w:sz w:val="28"/>
      <w:szCs w:val="28"/>
    </w:rPr>
  </w:style>
  <w:style w:type="paragraph" w:styleId="6">
    <w:name w:val="heading 5"/>
    <w:basedOn w:val="1"/>
    <w:next w:val="1"/>
    <w:link w:val="38"/>
    <w:qFormat/>
    <w:uiPriority w:val="0"/>
    <w:pPr>
      <w:keepNext/>
      <w:keepLines/>
      <w:adjustRightInd/>
      <w:spacing w:before="280" w:after="290" w:line="376" w:lineRule="auto"/>
      <w:outlineLvl w:val="4"/>
    </w:pPr>
    <w:rPr>
      <w:b/>
      <w:bCs/>
      <w:sz w:val="28"/>
      <w:szCs w:val="28"/>
    </w:rPr>
  </w:style>
  <w:style w:type="paragraph" w:styleId="7">
    <w:name w:val="heading 6"/>
    <w:basedOn w:val="1"/>
    <w:next w:val="1"/>
    <w:link w:val="39"/>
    <w:qFormat/>
    <w:uiPriority w:val="0"/>
    <w:pPr>
      <w:keepNext/>
      <w:keepLines/>
      <w:adjustRightInd/>
      <w:spacing w:before="240" w:after="64" w:line="320" w:lineRule="auto"/>
      <w:outlineLvl w:val="5"/>
    </w:pPr>
    <w:rPr>
      <w:rFonts w:ascii="Arial" w:hAnsi="Arial" w:eastAsia="黑体"/>
      <w:b/>
      <w:bCs/>
      <w:sz w:val="24"/>
      <w:szCs w:val="24"/>
    </w:rPr>
  </w:style>
  <w:style w:type="paragraph" w:styleId="8">
    <w:name w:val="heading 7"/>
    <w:basedOn w:val="1"/>
    <w:next w:val="1"/>
    <w:link w:val="40"/>
    <w:qFormat/>
    <w:uiPriority w:val="0"/>
    <w:pPr>
      <w:keepNext/>
      <w:keepLines/>
      <w:adjustRightInd/>
      <w:spacing w:before="240" w:after="64" w:line="320" w:lineRule="auto"/>
      <w:outlineLvl w:val="6"/>
    </w:pPr>
    <w:rPr>
      <w:b/>
      <w:bCs/>
      <w:sz w:val="24"/>
      <w:szCs w:val="24"/>
    </w:rPr>
  </w:style>
  <w:style w:type="paragraph" w:styleId="9">
    <w:name w:val="heading 8"/>
    <w:basedOn w:val="1"/>
    <w:next w:val="1"/>
    <w:link w:val="41"/>
    <w:qFormat/>
    <w:uiPriority w:val="0"/>
    <w:pPr>
      <w:keepNext/>
      <w:keepLines/>
      <w:adjustRightInd/>
      <w:spacing w:before="240" w:after="64" w:line="320" w:lineRule="auto"/>
      <w:outlineLvl w:val="7"/>
    </w:pPr>
    <w:rPr>
      <w:rFonts w:ascii="Arial" w:hAnsi="Arial" w:eastAsia="黑体"/>
      <w:sz w:val="24"/>
      <w:szCs w:val="24"/>
    </w:rPr>
  </w:style>
  <w:style w:type="paragraph" w:styleId="10">
    <w:name w:val="heading 9"/>
    <w:basedOn w:val="1"/>
    <w:next w:val="1"/>
    <w:link w:val="42"/>
    <w:qFormat/>
    <w:uiPriority w:val="0"/>
    <w:pPr>
      <w:keepNext/>
      <w:keepLines/>
      <w:adjustRightInd/>
      <w:spacing w:before="240" w:after="64" w:line="320" w:lineRule="auto"/>
      <w:outlineLvl w:val="8"/>
    </w:pPr>
    <w:rPr>
      <w:rFonts w:ascii="Arial" w:hAnsi="Arial" w:eastAsia="黑体"/>
    </w:rPr>
  </w:style>
  <w:style w:type="character" w:default="1" w:styleId="28">
    <w:name w:val="Default Paragraph Font"/>
    <w:unhideWhenUsed/>
    <w:qFormat/>
    <w:uiPriority w:val="1"/>
  </w:style>
  <w:style w:type="table" w:default="1" w:styleId="26">
    <w:name w:val="Normal Table"/>
    <w:semiHidden/>
    <w:unhideWhenUsed/>
    <w:qFormat/>
    <w:uiPriority w:val="99"/>
    <w:tblPr>
      <w:tblCellMar>
        <w:top w:w="0" w:type="dxa"/>
        <w:left w:w="108" w:type="dxa"/>
        <w:bottom w:w="0" w:type="dxa"/>
        <w:right w:w="108" w:type="dxa"/>
      </w:tblCellMar>
    </w:tblPr>
  </w:style>
  <w:style w:type="paragraph" w:styleId="11">
    <w:name w:val="toc 7"/>
    <w:basedOn w:val="1"/>
    <w:next w:val="1"/>
    <w:unhideWhenUsed/>
    <w:qFormat/>
    <w:uiPriority w:val="39"/>
    <w:pPr>
      <w:tabs>
        <w:tab w:val="right" w:leader="dot" w:pos="9344"/>
      </w:tabs>
      <w:spacing w:line="300" w:lineRule="exact"/>
      <w:ind w:left="1259"/>
    </w:pPr>
    <w:rPr>
      <w:rFonts w:ascii="宋体"/>
    </w:rPr>
  </w:style>
  <w:style w:type="paragraph" w:styleId="12">
    <w:name w:val="Normal Indent"/>
    <w:basedOn w:val="1"/>
    <w:qFormat/>
    <w:uiPriority w:val="0"/>
    <w:pPr>
      <w:ind w:firstLine="420"/>
    </w:pPr>
  </w:style>
  <w:style w:type="paragraph" w:styleId="13">
    <w:name w:val="Body Text"/>
    <w:basedOn w:val="1"/>
    <w:link w:val="86"/>
    <w:qFormat/>
    <w:uiPriority w:val="0"/>
    <w:pPr>
      <w:spacing w:after="120"/>
    </w:pPr>
  </w:style>
  <w:style w:type="paragraph" w:styleId="14">
    <w:name w:val="toc 5"/>
    <w:basedOn w:val="1"/>
    <w:next w:val="1"/>
    <w:unhideWhenUsed/>
    <w:qFormat/>
    <w:uiPriority w:val="39"/>
    <w:pPr>
      <w:ind w:left="839"/>
    </w:pPr>
    <w:rPr>
      <w:rFonts w:ascii="宋体"/>
    </w:rPr>
  </w:style>
  <w:style w:type="paragraph" w:styleId="15">
    <w:name w:val="toc 3"/>
    <w:basedOn w:val="1"/>
    <w:next w:val="1"/>
    <w:unhideWhenUsed/>
    <w:qFormat/>
    <w:uiPriority w:val="39"/>
    <w:pPr>
      <w:spacing w:line="300" w:lineRule="exact"/>
      <w:ind w:left="420"/>
    </w:pPr>
    <w:rPr>
      <w:rFonts w:ascii="宋体"/>
    </w:rPr>
  </w:style>
  <w:style w:type="paragraph" w:styleId="16">
    <w:name w:val="Balloon Text"/>
    <w:basedOn w:val="1"/>
    <w:link w:val="45"/>
    <w:semiHidden/>
    <w:unhideWhenUsed/>
    <w:qFormat/>
    <w:uiPriority w:val="99"/>
    <w:rPr>
      <w:sz w:val="18"/>
      <w:szCs w:val="18"/>
    </w:rPr>
  </w:style>
  <w:style w:type="paragraph" w:styleId="17">
    <w:name w:val="footer"/>
    <w:basedOn w:val="1"/>
    <w:link w:val="44"/>
    <w:qFormat/>
    <w:uiPriority w:val="99"/>
    <w:pPr>
      <w:tabs>
        <w:tab w:val="center" w:pos="4153"/>
        <w:tab w:val="right" w:pos="8306"/>
      </w:tabs>
      <w:adjustRightInd/>
      <w:snapToGrid w:val="0"/>
      <w:spacing w:line="240" w:lineRule="auto"/>
      <w:jc w:val="right"/>
    </w:pPr>
    <w:rPr>
      <w:rFonts w:ascii="宋体"/>
      <w:sz w:val="18"/>
      <w:szCs w:val="18"/>
    </w:rPr>
  </w:style>
  <w:style w:type="paragraph" w:styleId="18">
    <w:name w:val="header"/>
    <w:basedOn w:val="1"/>
    <w:link w:val="43"/>
    <w:qFormat/>
    <w:uiPriority w:val="99"/>
    <w:pPr>
      <w:tabs>
        <w:tab w:val="center" w:pos="4153"/>
        <w:tab w:val="right" w:pos="8306"/>
      </w:tabs>
      <w:adjustRightInd/>
      <w:snapToGrid w:val="0"/>
      <w:jc w:val="center"/>
    </w:pPr>
    <w:rPr>
      <w:sz w:val="18"/>
      <w:szCs w:val="18"/>
    </w:rPr>
  </w:style>
  <w:style w:type="paragraph" w:styleId="19">
    <w:name w:val="toc 1"/>
    <w:basedOn w:val="1"/>
    <w:next w:val="1"/>
    <w:unhideWhenUsed/>
    <w:qFormat/>
    <w:uiPriority w:val="39"/>
    <w:rPr>
      <w:rFonts w:ascii="宋体"/>
    </w:rPr>
  </w:style>
  <w:style w:type="paragraph" w:styleId="20">
    <w:name w:val="toc 4"/>
    <w:basedOn w:val="1"/>
    <w:next w:val="1"/>
    <w:unhideWhenUsed/>
    <w:qFormat/>
    <w:uiPriority w:val="39"/>
    <w:pPr>
      <w:tabs>
        <w:tab w:val="right" w:leader="dot" w:pos="9344"/>
      </w:tabs>
      <w:spacing w:line="300" w:lineRule="exact"/>
      <w:ind w:left="629"/>
    </w:pPr>
    <w:rPr>
      <w:rFonts w:ascii="宋体"/>
    </w:rPr>
  </w:style>
  <w:style w:type="paragraph" w:styleId="21">
    <w:name w:val="footnote text"/>
    <w:basedOn w:val="1"/>
    <w:next w:val="1"/>
    <w:link w:val="99"/>
    <w:semiHidden/>
    <w:qFormat/>
    <w:uiPriority w:val="0"/>
    <w:pPr>
      <w:adjustRightInd/>
      <w:snapToGrid w:val="0"/>
      <w:spacing w:line="300" w:lineRule="exact"/>
      <w:ind w:left="400" w:leftChars="200" w:hanging="200" w:hangingChars="200"/>
      <w:jc w:val="left"/>
    </w:pPr>
    <w:rPr>
      <w:rFonts w:ascii="宋体"/>
      <w:sz w:val="18"/>
      <w:szCs w:val="18"/>
    </w:rPr>
  </w:style>
  <w:style w:type="paragraph" w:styleId="22">
    <w:name w:val="toc 6"/>
    <w:basedOn w:val="1"/>
    <w:next w:val="1"/>
    <w:unhideWhenUsed/>
    <w:qFormat/>
    <w:uiPriority w:val="39"/>
    <w:pPr>
      <w:spacing w:line="300" w:lineRule="exact"/>
      <w:ind w:left="1049"/>
    </w:pPr>
    <w:rPr>
      <w:rFonts w:ascii="宋体"/>
    </w:rPr>
  </w:style>
  <w:style w:type="paragraph" w:styleId="23">
    <w:name w:val="table of figures"/>
    <w:basedOn w:val="1"/>
    <w:next w:val="1"/>
    <w:semiHidden/>
    <w:qFormat/>
    <w:uiPriority w:val="0"/>
    <w:pPr>
      <w:adjustRightInd/>
      <w:spacing w:line="240" w:lineRule="auto"/>
      <w:jc w:val="left"/>
    </w:pPr>
    <w:rPr>
      <w:szCs w:val="24"/>
    </w:rPr>
  </w:style>
  <w:style w:type="paragraph" w:styleId="24">
    <w:name w:val="toc 2"/>
    <w:basedOn w:val="1"/>
    <w:next w:val="1"/>
    <w:unhideWhenUsed/>
    <w:qFormat/>
    <w:uiPriority w:val="39"/>
    <w:pPr>
      <w:tabs>
        <w:tab w:val="right" w:leader="dot" w:pos="9344"/>
      </w:tabs>
      <w:spacing w:line="300" w:lineRule="exact"/>
      <w:ind w:left="210"/>
    </w:pPr>
    <w:rPr>
      <w:rFonts w:ascii="宋体"/>
    </w:rPr>
  </w:style>
  <w:style w:type="paragraph" w:styleId="25">
    <w:name w:val="Title"/>
    <w:basedOn w:val="1"/>
    <w:link w:val="48"/>
    <w:qFormat/>
    <w:uiPriority w:val="0"/>
    <w:pPr>
      <w:spacing w:before="240" w:after="60"/>
      <w:jc w:val="center"/>
      <w:outlineLvl w:val="0"/>
    </w:pPr>
    <w:rPr>
      <w:rFonts w:ascii="Arial" w:hAnsi="Arial" w:cs="Arial"/>
      <w:b/>
      <w:bCs/>
      <w:sz w:val="32"/>
      <w:szCs w:val="32"/>
    </w:rPr>
  </w:style>
  <w:style w:type="table" w:styleId="27">
    <w:name w:val="Table Grid"/>
    <w:basedOn w:val="26"/>
    <w:qFormat/>
    <w:uiPriority w:val="39"/>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character" w:styleId="29">
    <w:name w:val="Strong"/>
    <w:qFormat/>
    <w:uiPriority w:val="22"/>
    <w:rPr>
      <w:b/>
      <w:bCs/>
    </w:rPr>
  </w:style>
  <w:style w:type="character" w:styleId="30">
    <w:name w:val="page number"/>
    <w:qFormat/>
    <w:uiPriority w:val="0"/>
    <w:rPr>
      <w:rFonts w:ascii="宋体" w:hAnsi="Times New Roman" w:eastAsia="宋体"/>
      <w:sz w:val="18"/>
    </w:rPr>
  </w:style>
  <w:style w:type="character" w:styleId="31">
    <w:name w:val="Emphasis"/>
    <w:qFormat/>
    <w:uiPriority w:val="20"/>
    <w:rPr>
      <w:i/>
      <w:iCs/>
    </w:rPr>
  </w:style>
  <w:style w:type="character" w:styleId="32">
    <w:name w:val="Hyperlink"/>
    <w:qFormat/>
    <w:uiPriority w:val="99"/>
    <w:rPr>
      <w:rFonts w:ascii="宋体" w:hAnsi="Times New Roman" w:eastAsia="宋体"/>
      <w:color w:val="auto"/>
      <w:spacing w:val="0"/>
      <w:w w:val="100"/>
      <w:position w:val="0"/>
      <w:sz w:val="21"/>
      <w:u w:val="none"/>
      <w:vertAlign w:val="baseline"/>
    </w:rPr>
  </w:style>
  <w:style w:type="character" w:styleId="33">
    <w:name w:val="footnote reference"/>
    <w:semiHidden/>
    <w:qFormat/>
    <w:uiPriority w:val="0"/>
    <w:rPr>
      <w:rFonts w:ascii="宋体" w:hAnsi="宋体" w:eastAsia="宋体" w:cs="Times New Roman"/>
      <w:spacing w:val="0"/>
      <w:sz w:val="18"/>
      <w:vertAlign w:val="superscript"/>
    </w:rPr>
  </w:style>
  <w:style w:type="character" w:customStyle="1" w:styleId="34">
    <w:name w:val="标题 1 字符"/>
    <w:link w:val="2"/>
    <w:qFormat/>
    <w:uiPriority w:val="0"/>
    <w:rPr>
      <w:b/>
      <w:bCs/>
      <w:kern w:val="44"/>
      <w:sz w:val="44"/>
      <w:szCs w:val="44"/>
    </w:rPr>
  </w:style>
  <w:style w:type="character" w:customStyle="1" w:styleId="35">
    <w:name w:val="标题 2 字符"/>
    <w:link w:val="3"/>
    <w:qFormat/>
    <w:uiPriority w:val="0"/>
    <w:rPr>
      <w:rFonts w:ascii="Arial" w:hAnsi="Arial" w:eastAsia="黑体"/>
      <w:b/>
      <w:bCs/>
      <w:kern w:val="2"/>
      <w:sz w:val="32"/>
      <w:szCs w:val="32"/>
    </w:rPr>
  </w:style>
  <w:style w:type="character" w:customStyle="1" w:styleId="36">
    <w:name w:val="标题 3 字符"/>
    <w:link w:val="4"/>
    <w:qFormat/>
    <w:uiPriority w:val="0"/>
    <w:rPr>
      <w:b/>
      <w:bCs/>
      <w:kern w:val="2"/>
      <w:sz w:val="32"/>
      <w:szCs w:val="32"/>
    </w:rPr>
  </w:style>
  <w:style w:type="character" w:customStyle="1" w:styleId="37">
    <w:name w:val="标题 4 字符"/>
    <w:link w:val="5"/>
    <w:qFormat/>
    <w:uiPriority w:val="0"/>
    <w:rPr>
      <w:rFonts w:ascii="Arial" w:hAnsi="Arial" w:eastAsia="黑体"/>
      <w:b/>
      <w:bCs/>
      <w:kern w:val="2"/>
      <w:sz w:val="28"/>
      <w:szCs w:val="28"/>
    </w:rPr>
  </w:style>
  <w:style w:type="character" w:customStyle="1" w:styleId="38">
    <w:name w:val="标题 5 字符"/>
    <w:link w:val="6"/>
    <w:qFormat/>
    <w:uiPriority w:val="0"/>
    <w:rPr>
      <w:b/>
      <w:bCs/>
      <w:kern w:val="2"/>
      <w:sz w:val="28"/>
      <w:szCs w:val="28"/>
    </w:rPr>
  </w:style>
  <w:style w:type="character" w:customStyle="1" w:styleId="39">
    <w:name w:val="标题 6 字符"/>
    <w:link w:val="7"/>
    <w:qFormat/>
    <w:uiPriority w:val="0"/>
    <w:rPr>
      <w:rFonts w:ascii="Arial" w:hAnsi="Arial" w:eastAsia="黑体"/>
      <w:b/>
      <w:bCs/>
      <w:kern w:val="2"/>
      <w:sz w:val="24"/>
      <w:szCs w:val="24"/>
    </w:rPr>
  </w:style>
  <w:style w:type="character" w:customStyle="1" w:styleId="40">
    <w:name w:val="标题 7 字符"/>
    <w:link w:val="8"/>
    <w:qFormat/>
    <w:uiPriority w:val="0"/>
    <w:rPr>
      <w:b/>
      <w:bCs/>
      <w:kern w:val="2"/>
      <w:sz w:val="24"/>
      <w:szCs w:val="24"/>
    </w:rPr>
  </w:style>
  <w:style w:type="character" w:customStyle="1" w:styleId="41">
    <w:name w:val="标题 8 字符"/>
    <w:link w:val="9"/>
    <w:qFormat/>
    <w:uiPriority w:val="0"/>
    <w:rPr>
      <w:rFonts w:ascii="Arial" w:hAnsi="Arial" w:eastAsia="黑体"/>
      <w:kern w:val="2"/>
      <w:sz w:val="24"/>
      <w:szCs w:val="24"/>
    </w:rPr>
  </w:style>
  <w:style w:type="character" w:customStyle="1" w:styleId="42">
    <w:name w:val="标题 9 字符"/>
    <w:link w:val="10"/>
    <w:qFormat/>
    <w:uiPriority w:val="0"/>
    <w:rPr>
      <w:rFonts w:ascii="Arial" w:hAnsi="Arial" w:eastAsia="黑体"/>
      <w:kern w:val="2"/>
      <w:sz w:val="21"/>
      <w:szCs w:val="21"/>
    </w:rPr>
  </w:style>
  <w:style w:type="character" w:customStyle="1" w:styleId="43">
    <w:name w:val="页眉 字符"/>
    <w:link w:val="18"/>
    <w:qFormat/>
    <w:uiPriority w:val="99"/>
    <w:rPr>
      <w:kern w:val="2"/>
      <w:sz w:val="18"/>
      <w:szCs w:val="18"/>
    </w:rPr>
  </w:style>
  <w:style w:type="character" w:customStyle="1" w:styleId="44">
    <w:name w:val="页脚 字符"/>
    <w:link w:val="17"/>
    <w:qFormat/>
    <w:uiPriority w:val="99"/>
    <w:rPr>
      <w:rFonts w:ascii="宋体"/>
      <w:kern w:val="2"/>
      <w:sz w:val="18"/>
      <w:szCs w:val="18"/>
    </w:rPr>
  </w:style>
  <w:style w:type="character" w:customStyle="1" w:styleId="45">
    <w:name w:val="批注框文本 字符"/>
    <w:link w:val="16"/>
    <w:semiHidden/>
    <w:qFormat/>
    <w:uiPriority w:val="99"/>
    <w:rPr>
      <w:kern w:val="2"/>
      <w:sz w:val="18"/>
      <w:szCs w:val="18"/>
    </w:rPr>
  </w:style>
  <w:style w:type="paragraph" w:styleId="46">
    <w:name w:val="Quote"/>
    <w:basedOn w:val="1"/>
    <w:next w:val="1"/>
    <w:link w:val="47"/>
    <w:qFormat/>
    <w:uiPriority w:val="29"/>
    <w:rPr>
      <w:i/>
      <w:iCs/>
      <w:color w:val="000000"/>
    </w:rPr>
  </w:style>
  <w:style w:type="character" w:customStyle="1" w:styleId="47">
    <w:name w:val="引用 字符"/>
    <w:link w:val="46"/>
    <w:qFormat/>
    <w:uiPriority w:val="29"/>
    <w:rPr>
      <w:i/>
      <w:iCs/>
      <w:color w:val="000000"/>
      <w:kern w:val="2"/>
      <w:sz w:val="21"/>
      <w:szCs w:val="21"/>
    </w:rPr>
  </w:style>
  <w:style w:type="character" w:customStyle="1" w:styleId="48">
    <w:name w:val="标题 字符"/>
    <w:link w:val="25"/>
    <w:qFormat/>
    <w:uiPriority w:val="0"/>
    <w:rPr>
      <w:rFonts w:ascii="Arial" w:hAnsi="Arial" w:cs="Arial"/>
      <w:b/>
      <w:bCs/>
      <w:kern w:val="2"/>
      <w:sz w:val="32"/>
      <w:szCs w:val="32"/>
    </w:rPr>
  </w:style>
  <w:style w:type="paragraph" w:customStyle="1" w:styleId="49">
    <w:name w:val="标准标志"/>
    <w:next w:val="1"/>
    <w:qFormat/>
    <w:uiPriority w:val="0"/>
    <w:pPr>
      <w:framePr w:w="2268" w:h="1392" w:hRule="exact" w:wrap="around" w:vAnchor="margin" w:hAnchor="margin" w:x="6748" w:y="171" w:anchorLock="1"/>
      <w:shd w:val="solid" w:color="FFFFFF" w:fill="FFFFFF"/>
      <w:spacing w:line="0" w:lineRule="atLeast"/>
      <w:jc w:val="right"/>
    </w:pPr>
    <w:rPr>
      <w:rFonts w:ascii="Times New Roman" w:hAnsi="Times New Roman" w:eastAsia="宋体" w:cs="Times New Roman"/>
      <w:b/>
      <w:w w:val="130"/>
      <w:sz w:val="96"/>
      <w:lang w:val="en-US" w:eastAsia="zh-CN" w:bidi="ar-SA"/>
    </w:rPr>
  </w:style>
  <w:style w:type="paragraph" w:customStyle="1" w:styleId="50">
    <w:name w:val="标准称谓"/>
    <w:next w:val="1"/>
    <w:qFormat/>
    <w:uiPriority w:val="0"/>
    <w:pPr>
      <w:framePr w:w="9638" w:h="754" w:hRule="exact" w:hSpace="180" w:vSpace="180" w:wrap="around" w:vAnchor="page" w:hAnchor="margin" w:xAlign="center" w:y="2128" w:anchorLock="1"/>
      <w:widowControl w:val="0"/>
      <w:kinsoku w:val="0"/>
      <w:overflowPunct w:val="0"/>
      <w:autoSpaceDE w:val="0"/>
      <w:autoSpaceDN w:val="0"/>
      <w:spacing w:line="0" w:lineRule="atLeast"/>
      <w:jc w:val="distribute"/>
    </w:pPr>
    <w:rPr>
      <w:rFonts w:ascii="宋体" w:hAnsi="Times New Roman" w:eastAsia="宋体" w:cs="Times New Roman"/>
      <w:b/>
      <w:bCs/>
      <w:w w:val="148"/>
      <w:sz w:val="52"/>
      <w:lang w:val="en-US" w:eastAsia="zh-CN" w:bidi="ar-SA"/>
    </w:rPr>
  </w:style>
  <w:style w:type="paragraph" w:customStyle="1" w:styleId="51">
    <w:name w:val="标准文件_页脚偶数页"/>
    <w:qFormat/>
    <w:uiPriority w:val="0"/>
    <w:pPr>
      <w:ind w:left="198"/>
    </w:pPr>
    <w:rPr>
      <w:rFonts w:ascii="宋体" w:hAnsi="Times New Roman" w:eastAsia="宋体" w:cs="Times New Roman"/>
      <w:sz w:val="18"/>
      <w:lang w:val="en-US" w:eastAsia="zh-CN" w:bidi="ar-SA"/>
    </w:rPr>
  </w:style>
  <w:style w:type="paragraph" w:customStyle="1" w:styleId="52">
    <w:name w:val="标准文件_页脚奇数页"/>
    <w:qFormat/>
    <w:uiPriority w:val="0"/>
    <w:pPr>
      <w:ind w:right="227"/>
      <w:jc w:val="right"/>
    </w:pPr>
    <w:rPr>
      <w:rFonts w:ascii="宋体" w:hAnsi="Times New Roman" w:eastAsia="宋体" w:cs="Times New Roman"/>
      <w:sz w:val="18"/>
      <w:lang w:val="en-US" w:eastAsia="zh-CN" w:bidi="ar-SA"/>
    </w:rPr>
  </w:style>
  <w:style w:type="paragraph" w:customStyle="1" w:styleId="53">
    <w:name w:val="标准书眉一"/>
    <w:qFormat/>
    <w:uiPriority w:val="0"/>
    <w:pPr>
      <w:jc w:val="both"/>
    </w:pPr>
    <w:rPr>
      <w:rFonts w:ascii="Times New Roman" w:hAnsi="Times New Roman" w:eastAsia="宋体" w:cs="Times New Roman"/>
      <w:lang w:val="en-US" w:eastAsia="zh-CN" w:bidi="ar-SA"/>
    </w:rPr>
  </w:style>
  <w:style w:type="paragraph" w:customStyle="1" w:styleId="54">
    <w:name w:val="标准文件_ICS"/>
    <w:basedOn w:val="1"/>
    <w:qFormat/>
    <w:uiPriority w:val="0"/>
    <w:pPr>
      <w:spacing w:line="0" w:lineRule="atLeast"/>
    </w:pPr>
    <w:rPr>
      <w:rFonts w:ascii="黑体" w:hAnsi="宋体" w:eastAsia="黑体"/>
    </w:rPr>
  </w:style>
  <w:style w:type="paragraph" w:customStyle="1" w:styleId="55">
    <w:name w:val="标准文件_标准正文"/>
    <w:basedOn w:val="1"/>
    <w:next w:val="56"/>
    <w:qFormat/>
    <w:uiPriority w:val="0"/>
    <w:pPr>
      <w:snapToGrid w:val="0"/>
      <w:ind w:firstLine="200" w:firstLineChars="200"/>
    </w:pPr>
    <w:rPr>
      <w:kern w:val="0"/>
    </w:rPr>
  </w:style>
  <w:style w:type="paragraph" w:customStyle="1" w:styleId="56">
    <w:name w:val="标准文件_段"/>
    <w:link w:val="184"/>
    <w:qFormat/>
    <w:uiPriority w:val="0"/>
    <w:pPr>
      <w:autoSpaceDE w:val="0"/>
      <w:autoSpaceDN w:val="0"/>
      <w:ind w:firstLine="200" w:firstLineChars="200"/>
      <w:jc w:val="both"/>
    </w:pPr>
    <w:rPr>
      <w:rFonts w:ascii="宋体" w:hAnsi="Times New Roman" w:eastAsia="宋体" w:cs="Times New Roman"/>
      <w:sz w:val="21"/>
      <w:lang w:val="en-US" w:eastAsia="zh-CN" w:bidi="ar-SA"/>
    </w:rPr>
  </w:style>
  <w:style w:type="paragraph" w:customStyle="1" w:styleId="57">
    <w:name w:val="标准文件_版本"/>
    <w:basedOn w:val="55"/>
    <w:qFormat/>
    <w:uiPriority w:val="0"/>
    <w:pPr>
      <w:adjustRightInd/>
      <w:snapToGrid/>
      <w:ind w:firstLine="0" w:firstLineChars="0"/>
    </w:pPr>
    <w:rPr>
      <w:rFonts w:ascii="宋体" w:hAnsi="宋体"/>
      <w:kern w:val="2"/>
    </w:rPr>
  </w:style>
  <w:style w:type="paragraph" w:customStyle="1" w:styleId="58">
    <w:name w:val="标准文件_标准部门"/>
    <w:basedOn w:val="1"/>
    <w:qFormat/>
    <w:uiPriority w:val="0"/>
    <w:pPr>
      <w:jc w:val="center"/>
    </w:pPr>
    <w:rPr>
      <w:rFonts w:ascii="黑体" w:eastAsia="黑体"/>
      <w:kern w:val="0"/>
      <w:sz w:val="44"/>
    </w:rPr>
  </w:style>
  <w:style w:type="paragraph" w:customStyle="1" w:styleId="59">
    <w:name w:val="标准文件_标准代替"/>
    <w:basedOn w:val="1"/>
    <w:next w:val="1"/>
    <w:qFormat/>
    <w:uiPriority w:val="0"/>
    <w:pPr>
      <w:spacing w:line="310" w:lineRule="exact"/>
      <w:jc w:val="right"/>
    </w:pPr>
    <w:rPr>
      <w:rFonts w:ascii="宋体" w:hAnsi="宋体"/>
      <w:kern w:val="0"/>
    </w:rPr>
  </w:style>
  <w:style w:type="paragraph" w:customStyle="1" w:styleId="60">
    <w:name w:val="标准文件_标准名称标题"/>
    <w:basedOn w:val="1"/>
    <w:next w:val="1"/>
    <w:qFormat/>
    <w:uiPriority w:val="0"/>
    <w:pPr>
      <w:widowControl/>
      <w:shd w:val="clear" w:color="FFFFFF" w:fill="FFFFFF"/>
      <w:adjustRightInd/>
      <w:spacing w:before="640" w:after="100"/>
      <w:jc w:val="center"/>
    </w:pPr>
    <w:rPr>
      <w:rFonts w:ascii="黑体" w:eastAsia="黑体"/>
      <w:kern w:val="0"/>
      <w:sz w:val="32"/>
    </w:rPr>
  </w:style>
  <w:style w:type="paragraph" w:customStyle="1" w:styleId="61">
    <w:name w:val="标准文件_页眉奇数页"/>
    <w:next w:val="1"/>
    <w:qFormat/>
    <w:uiPriority w:val="0"/>
    <w:pPr>
      <w:tabs>
        <w:tab w:val="center" w:pos="4154"/>
        <w:tab w:val="right" w:pos="8306"/>
      </w:tabs>
      <w:spacing w:after="120"/>
      <w:jc w:val="right"/>
    </w:pPr>
    <w:rPr>
      <w:rFonts w:ascii="黑体" w:hAnsi="宋体" w:eastAsia="黑体" w:cs="Times New Roman"/>
      <w:sz w:val="21"/>
      <w:lang w:val="en-US" w:eastAsia="zh-CN" w:bidi="ar-SA"/>
    </w:rPr>
  </w:style>
  <w:style w:type="paragraph" w:customStyle="1" w:styleId="62">
    <w:name w:val="标准文件_页眉偶数页"/>
    <w:basedOn w:val="61"/>
    <w:next w:val="1"/>
    <w:qFormat/>
    <w:uiPriority w:val="0"/>
    <w:pPr>
      <w:jc w:val="left"/>
    </w:pPr>
  </w:style>
  <w:style w:type="paragraph" w:customStyle="1" w:styleId="63">
    <w:name w:val="标准文件_参考文献标题"/>
    <w:basedOn w:val="1"/>
    <w:next w:val="1"/>
    <w:qFormat/>
    <w:uiPriority w:val="0"/>
    <w:pPr>
      <w:widowControl/>
      <w:shd w:val="clear" w:color="FFFFFF" w:fill="FFFFFF"/>
      <w:adjustRightInd/>
      <w:spacing w:before="560" w:after="50" w:afterLines="50" w:line="240" w:lineRule="auto"/>
      <w:jc w:val="center"/>
      <w:outlineLvl w:val="0"/>
    </w:pPr>
    <w:rPr>
      <w:rFonts w:ascii="黑体" w:eastAsia="黑体"/>
      <w:kern w:val="0"/>
    </w:rPr>
  </w:style>
  <w:style w:type="paragraph" w:customStyle="1" w:styleId="64">
    <w:name w:val="标准文件_参考文献条目"/>
    <w:qFormat/>
    <w:uiPriority w:val="0"/>
    <w:pPr>
      <w:numPr>
        <w:ilvl w:val="0"/>
        <w:numId w:val="1"/>
      </w:numPr>
    </w:pPr>
    <w:rPr>
      <w:rFonts w:ascii="宋体" w:hAnsi="Times New Roman" w:eastAsia="宋体" w:cs="Times New Roman"/>
      <w:lang w:val="en-US" w:eastAsia="zh-CN" w:bidi="ar-SA"/>
    </w:rPr>
  </w:style>
  <w:style w:type="paragraph" w:customStyle="1" w:styleId="65">
    <w:name w:val="标准文件_二级条标题"/>
    <w:next w:val="56"/>
    <w:qFormat/>
    <w:uiPriority w:val="0"/>
    <w:pPr>
      <w:widowControl w:val="0"/>
      <w:numPr>
        <w:ilvl w:val="3"/>
        <w:numId w:val="2"/>
      </w:numPr>
      <w:spacing w:before="50" w:beforeLines="50" w:after="50" w:afterLines="50"/>
      <w:jc w:val="both"/>
      <w:outlineLvl w:val="2"/>
    </w:pPr>
    <w:rPr>
      <w:rFonts w:ascii="黑体" w:hAnsi="Times New Roman" w:eastAsia="黑体" w:cs="Times New Roman"/>
      <w:sz w:val="21"/>
      <w:lang w:val="en-US" w:eastAsia="zh-CN" w:bidi="ar-SA"/>
    </w:rPr>
  </w:style>
  <w:style w:type="character" w:customStyle="1" w:styleId="66">
    <w:name w:val="标准文件_发布"/>
    <w:qFormat/>
    <w:uiPriority w:val="0"/>
    <w:rPr>
      <w:rFonts w:ascii="黑体" w:eastAsia="黑体"/>
      <w:spacing w:val="0"/>
      <w:w w:val="100"/>
      <w:position w:val="3"/>
      <w:sz w:val="28"/>
    </w:rPr>
  </w:style>
  <w:style w:type="paragraph" w:customStyle="1" w:styleId="67">
    <w:name w:val="标准文件_方框数字列项"/>
    <w:basedOn w:val="56"/>
    <w:qFormat/>
    <w:uiPriority w:val="0"/>
    <w:pPr>
      <w:numPr>
        <w:ilvl w:val="0"/>
        <w:numId w:val="3"/>
      </w:numPr>
      <w:ind w:firstLine="0" w:firstLineChars="0"/>
    </w:pPr>
  </w:style>
  <w:style w:type="paragraph" w:customStyle="1" w:styleId="68">
    <w:name w:val="标准文件_封面标准编号"/>
    <w:basedOn w:val="1"/>
    <w:next w:val="59"/>
    <w:qFormat/>
    <w:uiPriority w:val="0"/>
    <w:pPr>
      <w:spacing w:line="310" w:lineRule="exact"/>
      <w:jc w:val="right"/>
    </w:pPr>
    <w:rPr>
      <w:rFonts w:ascii="黑体" w:eastAsia="黑体"/>
      <w:kern w:val="0"/>
      <w:sz w:val="28"/>
    </w:rPr>
  </w:style>
  <w:style w:type="paragraph" w:customStyle="1" w:styleId="69">
    <w:name w:val="标准文件_封面标准分类号"/>
    <w:basedOn w:val="1"/>
    <w:qFormat/>
    <w:uiPriority w:val="0"/>
    <w:rPr>
      <w:rFonts w:ascii="黑体" w:eastAsia="黑体"/>
      <w:b/>
      <w:kern w:val="0"/>
      <w:sz w:val="28"/>
    </w:rPr>
  </w:style>
  <w:style w:type="paragraph" w:customStyle="1" w:styleId="70">
    <w:name w:val="标准文件_封面标准名称"/>
    <w:basedOn w:val="1"/>
    <w:qFormat/>
    <w:uiPriority w:val="0"/>
    <w:pPr>
      <w:spacing w:line="240" w:lineRule="auto"/>
      <w:jc w:val="center"/>
    </w:pPr>
    <w:rPr>
      <w:rFonts w:ascii="黑体" w:eastAsia="黑体"/>
      <w:kern w:val="0"/>
      <w:sz w:val="52"/>
    </w:rPr>
  </w:style>
  <w:style w:type="paragraph" w:customStyle="1" w:styleId="71">
    <w:name w:val="标准文件_封面标准英文名称"/>
    <w:basedOn w:val="1"/>
    <w:qFormat/>
    <w:uiPriority w:val="0"/>
    <w:pPr>
      <w:spacing w:line="240" w:lineRule="auto"/>
      <w:jc w:val="center"/>
    </w:pPr>
    <w:rPr>
      <w:rFonts w:ascii="黑体" w:eastAsia="黑体"/>
      <w:b/>
      <w:sz w:val="28"/>
    </w:rPr>
  </w:style>
  <w:style w:type="paragraph" w:customStyle="1" w:styleId="72">
    <w:name w:val="标准文件_封面发布日期"/>
    <w:basedOn w:val="1"/>
    <w:qFormat/>
    <w:uiPriority w:val="0"/>
    <w:pPr>
      <w:spacing w:line="310" w:lineRule="exact"/>
    </w:pPr>
    <w:rPr>
      <w:rFonts w:ascii="黑体" w:eastAsia="黑体"/>
      <w:kern w:val="0"/>
      <w:sz w:val="28"/>
    </w:rPr>
  </w:style>
  <w:style w:type="paragraph" w:customStyle="1" w:styleId="73">
    <w:name w:val="标准文件_封面密级"/>
    <w:basedOn w:val="1"/>
    <w:qFormat/>
    <w:uiPriority w:val="0"/>
    <w:rPr>
      <w:rFonts w:eastAsia="黑体"/>
      <w:sz w:val="32"/>
    </w:rPr>
  </w:style>
  <w:style w:type="paragraph" w:customStyle="1" w:styleId="74">
    <w:name w:val="标准文件_封面实施日期"/>
    <w:basedOn w:val="1"/>
    <w:qFormat/>
    <w:uiPriority w:val="0"/>
    <w:pPr>
      <w:spacing w:line="310" w:lineRule="exact"/>
      <w:jc w:val="right"/>
    </w:pPr>
    <w:rPr>
      <w:rFonts w:ascii="黑体" w:eastAsia="黑体"/>
      <w:sz w:val="28"/>
    </w:rPr>
  </w:style>
  <w:style w:type="paragraph" w:customStyle="1" w:styleId="75">
    <w:name w:val="标准文件_封面抬头"/>
    <w:basedOn w:val="56"/>
    <w:qFormat/>
    <w:uiPriority w:val="0"/>
    <w:pPr>
      <w:adjustRightInd w:val="0"/>
      <w:spacing w:line="800" w:lineRule="exact"/>
      <w:ind w:firstLine="0" w:firstLineChars="0"/>
      <w:jc w:val="distribute"/>
    </w:pPr>
    <w:rPr>
      <w:rFonts w:ascii="黑体" w:eastAsia="黑体"/>
      <w:b/>
      <w:sz w:val="64"/>
    </w:rPr>
  </w:style>
  <w:style w:type="paragraph" w:customStyle="1" w:styleId="76">
    <w:name w:val="标准文件_附录标识"/>
    <w:next w:val="56"/>
    <w:qFormat/>
    <w:uiPriority w:val="0"/>
    <w:pPr>
      <w:numPr>
        <w:ilvl w:val="0"/>
        <w:numId w:val="4"/>
      </w:numPr>
      <w:shd w:val="clear" w:color="FFFFFF" w:fill="FFFFFF"/>
      <w:tabs>
        <w:tab w:val="left" w:pos="6406"/>
      </w:tabs>
      <w:spacing w:before="560" w:after="50" w:afterLines="50"/>
      <w:jc w:val="center"/>
      <w:outlineLvl w:val="0"/>
    </w:pPr>
    <w:rPr>
      <w:rFonts w:ascii="黑体" w:hAnsi="Times New Roman" w:eastAsia="黑体" w:cs="Times New Roman"/>
      <w:sz w:val="21"/>
      <w:lang w:val="en-US" w:eastAsia="zh-CN" w:bidi="ar-SA"/>
    </w:rPr>
  </w:style>
  <w:style w:type="paragraph" w:customStyle="1" w:styleId="77">
    <w:name w:val="标准文件_附录表标题"/>
    <w:next w:val="56"/>
    <w:qFormat/>
    <w:uiPriority w:val="0"/>
    <w:pPr>
      <w:numPr>
        <w:ilvl w:val="1"/>
        <w:numId w:val="5"/>
      </w:numPr>
      <w:adjustRightInd w:val="0"/>
      <w:snapToGrid w:val="0"/>
      <w:spacing w:before="50" w:beforeLines="50" w:after="50" w:afterLines="50"/>
      <w:jc w:val="center"/>
      <w:textAlignment w:val="baseline"/>
    </w:pPr>
    <w:rPr>
      <w:rFonts w:ascii="黑体" w:hAnsi="Times New Roman" w:eastAsia="黑体" w:cs="Times New Roman"/>
      <w:kern w:val="21"/>
      <w:sz w:val="21"/>
      <w:lang w:val="en-US" w:eastAsia="zh-CN" w:bidi="ar-SA"/>
    </w:rPr>
  </w:style>
  <w:style w:type="paragraph" w:customStyle="1" w:styleId="78">
    <w:name w:val="标准文件_附录一级条标题"/>
    <w:next w:val="56"/>
    <w:qFormat/>
    <w:uiPriority w:val="0"/>
    <w:pPr>
      <w:widowControl w:val="0"/>
      <w:numPr>
        <w:ilvl w:val="1"/>
        <w:numId w:val="4"/>
      </w:numPr>
      <w:spacing w:before="50" w:beforeLines="50" w:after="50" w:afterLines="50"/>
      <w:jc w:val="both"/>
      <w:outlineLvl w:val="2"/>
    </w:pPr>
    <w:rPr>
      <w:rFonts w:ascii="黑体" w:hAnsi="Times New Roman" w:eastAsia="黑体" w:cs="Times New Roman"/>
      <w:kern w:val="21"/>
      <w:sz w:val="21"/>
      <w:lang w:val="en-US" w:eastAsia="zh-CN" w:bidi="ar-SA"/>
    </w:rPr>
  </w:style>
  <w:style w:type="paragraph" w:customStyle="1" w:styleId="79">
    <w:name w:val="标准文件_附录二级条标题"/>
    <w:basedOn w:val="78"/>
    <w:next w:val="56"/>
    <w:qFormat/>
    <w:uiPriority w:val="0"/>
    <w:pPr>
      <w:widowControl/>
      <w:numPr>
        <w:ilvl w:val="2"/>
      </w:numPr>
      <w:wordWrap w:val="0"/>
      <w:overflowPunct w:val="0"/>
      <w:autoSpaceDE w:val="0"/>
      <w:autoSpaceDN w:val="0"/>
      <w:textAlignment w:val="baseline"/>
      <w:outlineLvl w:val="3"/>
    </w:pPr>
  </w:style>
  <w:style w:type="paragraph" w:customStyle="1" w:styleId="80">
    <w:name w:val="标准文件_附录公式"/>
    <w:basedOn w:val="55"/>
    <w:next w:val="55"/>
    <w:qFormat/>
    <w:uiPriority w:val="0"/>
    <w:pPr>
      <w:tabs>
        <w:tab w:val="center" w:pos="4678"/>
        <w:tab w:val="right" w:leader="middleDot" w:pos="9356"/>
      </w:tabs>
      <w:spacing w:line="240" w:lineRule="auto"/>
      <w:ind w:right="-51" w:firstLine="0" w:firstLineChars="0"/>
    </w:pPr>
    <w:rPr>
      <w:rFonts w:ascii="宋体" w:hAnsi="宋体"/>
    </w:rPr>
  </w:style>
  <w:style w:type="paragraph" w:customStyle="1" w:styleId="81">
    <w:name w:val="标准文件_附录三级条标题"/>
    <w:next w:val="56"/>
    <w:qFormat/>
    <w:uiPriority w:val="0"/>
    <w:pPr>
      <w:widowControl w:val="0"/>
      <w:numPr>
        <w:ilvl w:val="3"/>
        <w:numId w:val="4"/>
      </w:numPr>
      <w:spacing w:before="50" w:beforeLines="50" w:after="50" w:afterLines="50"/>
      <w:jc w:val="both"/>
      <w:outlineLvl w:val="4"/>
    </w:pPr>
    <w:rPr>
      <w:rFonts w:ascii="黑体" w:hAnsi="Times New Roman" w:eastAsia="黑体" w:cs="Times New Roman"/>
      <w:kern w:val="21"/>
      <w:sz w:val="21"/>
      <w:lang w:val="en-US" w:eastAsia="zh-CN" w:bidi="ar-SA"/>
    </w:rPr>
  </w:style>
  <w:style w:type="paragraph" w:customStyle="1" w:styleId="82">
    <w:name w:val="标准文件_附录四级条标题"/>
    <w:next w:val="56"/>
    <w:qFormat/>
    <w:uiPriority w:val="0"/>
    <w:pPr>
      <w:widowControl w:val="0"/>
      <w:numPr>
        <w:ilvl w:val="4"/>
        <w:numId w:val="4"/>
      </w:numPr>
      <w:spacing w:before="50" w:beforeLines="50" w:after="50" w:afterLines="50"/>
      <w:jc w:val="both"/>
      <w:outlineLvl w:val="5"/>
    </w:pPr>
    <w:rPr>
      <w:rFonts w:ascii="黑体" w:hAnsi="Times New Roman" w:eastAsia="黑体" w:cs="Times New Roman"/>
      <w:kern w:val="21"/>
      <w:sz w:val="21"/>
      <w:lang w:val="en-US" w:eastAsia="zh-CN" w:bidi="ar-SA"/>
    </w:rPr>
  </w:style>
  <w:style w:type="paragraph" w:customStyle="1" w:styleId="83">
    <w:name w:val="标准文件_附录图标题"/>
    <w:next w:val="56"/>
    <w:qFormat/>
    <w:uiPriority w:val="0"/>
    <w:pPr>
      <w:numPr>
        <w:ilvl w:val="1"/>
        <w:numId w:val="6"/>
      </w:numPr>
      <w:adjustRightInd w:val="0"/>
      <w:snapToGrid w:val="0"/>
      <w:spacing w:before="50" w:beforeLines="50" w:after="50" w:afterLines="50"/>
      <w:jc w:val="center"/>
    </w:pPr>
    <w:rPr>
      <w:rFonts w:ascii="黑体" w:hAnsi="Times New Roman" w:eastAsia="黑体" w:cs="Times New Roman"/>
      <w:sz w:val="21"/>
      <w:lang w:val="en-US" w:eastAsia="zh-CN" w:bidi="ar-SA"/>
    </w:rPr>
  </w:style>
  <w:style w:type="paragraph" w:customStyle="1" w:styleId="84">
    <w:name w:val="标准文件_附录五级条标题"/>
    <w:next w:val="56"/>
    <w:qFormat/>
    <w:uiPriority w:val="0"/>
    <w:pPr>
      <w:widowControl w:val="0"/>
      <w:numPr>
        <w:ilvl w:val="5"/>
        <w:numId w:val="4"/>
      </w:numPr>
      <w:spacing w:before="50" w:beforeLines="50" w:after="50" w:afterLines="50"/>
      <w:jc w:val="both"/>
      <w:outlineLvl w:val="6"/>
    </w:pPr>
    <w:rPr>
      <w:rFonts w:ascii="黑体" w:hAnsi="Times New Roman" w:eastAsia="黑体" w:cs="Times New Roman"/>
      <w:kern w:val="21"/>
      <w:sz w:val="21"/>
      <w:lang w:val="en-US" w:eastAsia="zh-CN" w:bidi="ar-SA"/>
    </w:rPr>
  </w:style>
  <w:style w:type="paragraph" w:customStyle="1" w:styleId="85">
    <w:name w:val="标准文件_附录英文标识"/>
    <w:next w:val="13"/>
    <w:qFormat/>
    <w:uiPriority w:val="0"/>
    <w:pPr>
      <w:numPr>
        <w:ilvl w:val="0"/>
        <w:numId w:val="7"/>
      </w:numPr>
      <w:tabs>
        <w:tab w:val="left" w:pos="6406"/>
      </w:tabs>
      <w:spacing w:before="220" w:after="320"/>
      <w:jc w:val="center"/>
      <w:outlineLvl w:val="0"/>
    </w:pPr>
    <w:rPr>
      <w:rFonts w:ascii="黑体" w:hAnsi="Times New Roman" w:eastAsia="黑体" w:cs="Times New Roman"/>
      <w:sz w:val="21"/>
      <w:lang w:val="en-US" w:eastAsia="zh-CN" w:bidi="ar-SA"/>
    </w:rPr>
  </w:style>
  <w:style w:type="character" w:customStyle="1" w:styleId="86">
    <w:name w:val="正文文本 字符"/>
    <w:link w:val="13"/>
    <w:qFormat/>
    <w:uiPriority w:val="0"/>
    <w:rPr>
      <w:kern w:val="2"/>
      <w:sz w:val="21"/>
      <w:szCs w:val="21"/>
    </w:rPr>
  </w:style>
  <w:style w:type="paragraph" w:customStyle="1" w:styleId="87">
    <w:name w:val="标准文件_附录章标题"/>
    <w:next w:val="56"/>
    <w:qFormat/>
    <w:uiPriority w:val="0"/>
    <w:pPr>
      <w:wordWrap w:val="0"/>
      <w:overflowPunct w:val="0"/>
      <w:autoSpaceDE w:val="0"/>
      <w:spacing w:beforeLines="50" w:afterLines="50"/>
      <w:jc w:val="both"/>
      <w:textAlignment w:val="baseline"/>
      <w:outlineLvl w:val="1"/>
    </w:pPr>
    <w:rPr>
      <w:rFonts w:ascii="黑体" w:hAnsi="Times New Roman" w:eastAsia="黑体" w:cs="Times New Roman"/>
      <w:kern w:val="21"/>
      <w:sz w:val="21"/>
      <w:lang w:val="en-US" w:eastAsia="zh-CN" w:bidi="ar-SA"/>
    </w:rPr>
  </w:style>
  <w:style w:type="paragraph" w:customStyle="1" w:styleId="88">
    <w:name w:val="标准文件_公式后的破折号"/>
    <w:basedOn w:val="56"/>
    <w:next w:val="56"/>
    <w:qFormat/>
    <w:uiPriority w:val="0"/>
    <w:pPr>
      <w:ind w:left="488" w:leftChars="200" w:hanging="289" w:hangingChars="290"/>
    </w:pPr>
  </w:style>
  <w:style w:type="paragraph" w:customStyle="1" w:styleId="89">
    <w:name w:val="标准文件_前言、引言标题"/>
    <w:next w:val="1"/>
    <w:qFormat/>
    <w:uiPriority w:val="0"/>
    <w:pPr>
      <w:numPr>
        <w:ilvl w:val="0"/>
        <w:numId w:val="8"/>
      </w:numPr>
      <w:shd w:val="clear" w:color="FFFFFF" w:fill="FFFFFF"/>
      <w:spacing w:before="480" w:after="150" w:afterLines="150"/>
      <w:jc w:val="center"/>
      <w:outlineLvl w:val="0"/>
    </w:pPr>
    <w:rPr>
      <w:rFonts w:ascii="黑体" w:hAnsi="Times New Roman" w:eastAsia="黑体" w:cs="Times New Roman"/>
      <w:sz w:val="32"/>
      <w:lang w:val="en-US" w:eastAsia="zh-CN" w:bidi="ar-SA"/>
    </w:rPr>
  </w:style>
  <w:style w:type="paragraph" w:customStyle="1" w:styleId="90">
    <w:name w:val="标准文件_目次、标准名称标题"/>
    <w:basedOn w:val="89"/>
    <w:next w:val="56"/>
    <w:qFormat/>
    <w:uiPriority w:val="0"/>
    <w:pPr>
      <w:spacing w:line="460" w:lineRule="exact"/>
      <w:ind w:left="0" w:firstLine="0"/>
    </w:pPr>
  </w:style>
  <w:style w:type="paragraph" w:customStyle="1" w:styleId="91">
    <w:name w:val="标准文件_目录标题"/>
    <w:basedOn w:val="1"/>
    <w:qFormat/>
    <w:uiPriority w:val="0"/>
    <w:pPr>
      <w:spacing w:before="480" w:after="150" w:afterLines="150" w:line="240" w:lineRule="auto"/>
      <w:jc w:val="center"/>
    </w:pPr>
    <w:rPr>
      <w:rFonts w:ascii="黑体" w:eastAsia="黑体"/>
      <w:sz w:val="32"/>
    </w:rPr>
  </w:style>
  <w:style w:type="paragraph" w:customStyle="1" w:styleId="92">
    <w:name w:val="标准文件_破折号列项"/>
    <w:qFormat/>
    <w:uiPriority w:val="0"/>
    <w:pPr>
      <w:numPr>
        <w:ilvl w:val="0"/>
        <w:numId w:val="9"/>
      </w:numPr>
      <w:adjustRightInd w:val="0"/>
      <w:snapToGrid w:val="0"/>
      <w:ind w:firstLine="200" w:firstLineChars="200"/>
    </w:pPr>
    <w:rPr>
      <w:rFonts w:ascii="Times New Roman" w:hAnsi="Times New Roman" w:eastAsia="宋体" w:cs="Times New Roman"/>
      <w:sz w:val="21"/>
      <w:lang w:val="en-US" w:eastAsia="zh-CN" w:bidi="ar-SA"/>
    </w:rPr>
  </w:style>
  <w:style w:type="paragraph" w:customStyle="1" w:styleId="93">
    <w:name w:val="标准文件_破折号列项（二级）"/>
    <w:basedOn w:val="92"/>
    <w:qFormat/>
    <w:uiPriority w:val="0"/>
    <w:pPr>
      <w:numPr>
        <w:numId w:val="10"/>
      </w:numPr>
    </w:pPr>
  </w:style>
  <w:style w:type="paragraph" w:customStyle="1" w:styleId="94">
    <w:name w:val="标准文件_三级条标题"/>
    <w:basedOn w:val="65"/>
    <w:next w:val="56"/>
    <w:qFormat/>
    <w:uiPriority w:val="0"/>
    <w:pPr>
      <w:widowControl/>
      <w:numPr>
        <w:ilvl w:val="4"/>
      </w:numPr>
      <w:outlineLvl w:val="3"/>
    </w:pPr>
  </w:style>
  <w:style w:type="character" w:customStyle="1" w:styleId="95">
    <w:name w:val="Subtle Reference"/>
    <w:qFormat/>
    <w:uiPriority w:val="31"/>
    <w:rPr>
      <w:smallCaps/>
      <w:color w:val="C0504D"/>
      <w:u w:val="single"/>
    </w:rPr>
  </w:style>
  <w:style w:type="paragraph" w:customStyle="1" w:styleId="96">
    <w:name w:val="标准文件_示例后续"/>
    <w:basedOn w:val="1"/>
    <w:qFormat/>
    <w:uiPriority w:val="0"/>
    <w:pPr>
      <w:adjustRightInd/>
      <w:spacing w:line="240" w:lineRule="auto"/>
      <w:ind w:firstLine="200" w:firstLineChars="200"/>
    </w:pPr>
    <w:rPr>
      <w:sz w:val="18"/>
      <w:szCs w:val="24"/>
    </w:rPr>
  </w:style>
  <w:style w:type="paragraph" w:customStyle="1" w:styleId="97">
    <w:name w:val="标准文件_数字编号列项"/>
    <w:qFormat/>
    <w:uiPriority w:val="0"/>
    <w:pPr>
      <w:numPr>
        <w:ilvl w:val="0"/>
        <w:numId w:val="11"/>
      </w:numPr>
      <w:jc w:val="both"/>
    </w:pPr>
    <w:rPr>
      <w:rFonts w:ascii="宋体" w:hAnsi="宋体" w:eastAsia="宋体" w:cs="Times New Roman"/>
      <w:sz w:val="21"/>
      <w:lang w:val="en-US" w:eastAsia="zh-CN" w:bidi="ar-SA"/>
    </w:rPr>
  </w:style>
  <w:style w:type="paragraph" w:customStyle="1" w:styleId="98">
    <w:name w:val="标准文件_四级条标题"/>
    <w:next w:val="56"/>
    <w:qFormat/>
    <w:uiPriority w:val="0"/>
    <w:pPr>
      <w:widowControl w:val="0"/>
      <w:numPr>
        <w:ilvl w:val="5"/>
        <w:numId w:val="2"/>
      </w:numPr>
      <w:spacing w:before="50" w:beforeLines="50" w:after="50" w:afterLines="50"/>
      <w:jc w:val="both"/>
      <w:outlineLvl w:val="4"/>
    </w:pPr>
    <w:rPr>
      <w:rFonts w:ascii="黑体" w:hAnsi="Times New Roman" w:eastAsia="黑体" w:cs="Times New Roman"/>
      <w:sz w:val="21"/>
      <w:lang w:val="en-US" w:eastAsia="zh-CN" w:bidi="ar-SA"/>
    </w:rPr>
  </w:style>
  <w:style w:type="character" w:customStyle="1" w:styleId="99">
    <w:name w:val="脚注文本 字符"/>
    <w:link w:val="21"/>
    <w:semiHidden/>
    <w:qFormat/>
    <w:uiPriority w:val="0"/>
    <w:rPr>
      <w:rFonts w:ascii="宋体"/>
      <w:kern w:val="2"/>
      <w:sz w:val="18"/>
      <w:szCs w:val="18"/>
    </w:rPr>
  </w:style>
  <w:style w:type="paragraph" w:customStyle="1" w:styleId="100">
    <w:name w:val="标准文件_条文脚注"/>
    <w:basedOn w:val="21"/>
    <w:qFormat/>
    <w:uiPriority w:val="0"/>
    <w:pPr>
      <w:adjustRightInd w:val="0"/>
      <w:spacing w:line="240" w:lineRule="auto"/>
      <w:ind w:left="0" w:leftChars="0" w:firstLine="200" w:firstLineChars="200"/>
      <w:jc w:val="both"/>
    </w:pPr>
    <w:rPr>
      <w:rFonts w:hAnsi="宋体"/>
    </w:rPr>
  </w:style>
  <w:style w:type="paragraph" w:customStyle="1" w:styleId="101">
    <w:name w:val="标准文件_图表脚注"/>
    <w:basedOn w:val="1"/>
    <w:next w:val="56"/>
    <w:qFormat/>
    <w:uiPriority w:val="0"/>
    <w:pPr>
      <w:numPr>
        <w:ilvl w:val="0"/>
        <w:numId w:val="12"/>
      </w:numPr>
      <w:spacing w:line="240" w:lineRule="auto"/>
      <w:jc w:val="left"/>
    </w:pPr>
    <w:rPr>
      <w:rFonts w:ascii="宋体" w:hAnsi="宋体"/>
      <w:sz w:val="18"/>
    </w:rPr>
  </w:style>
  <w:style w:type="character" w:customStyle="1" w:styleId="102">
    <w:name w:val="标准文件_图表脚注内容"/>
    <w:qFormat/>
    <w:uiPriority w:val="0"/>
    <w:rPr>
      <w:rFonts w:ascii="宋体" w:hAnsi="宋体" w:eastAsia="宋体" w:cs="Times New Roman"/>
      <w:spacing w:val="0"/>
      <w:sz w:val="18"/>
      <w:vertAlign w:val="superscript"/>
    </w:rPr>
  </w:style>
  <w:style w:type="paragraph" w:customStyle="1" w:styleId="103">
    <w:name w:val="标准文件_五级条标题"/>
    <w:next w:val="56"/>
    <w:qFormat/>
    <w:uiPriority w:val="0"/>
    <w:pPr>
      <w:widowControl w:val="0"/>
      <w:numPr>
        <w:ilvl w:val="6"/>
        <w:numId w:val="2"/>
      </w:numPr>
      <w:spacing w:before="50" w:beforeLines="50" w:after="50" w:afterLines="50"/>
      <w:jc w:val="both"/>
      <w:outlineLvl w:val="5"/>
    </w:pPr>
    <w:rPr>
      <w:rFonts w:ascii="黑体" w:hAnsi="Times New Roman" w:eastAsia="黑体" w:cs="Times New Roman"/>
      <w:sz w:val="21"/>
      <w:lang w:val="en-US" w:eastAsia="zh-CN" w:bidi="ar-SA"/>
    </w:rPr>
  </w:style>
  <w:style w:type="paragraph" w:customStyle="1" w:styleId="104">
    <w:name w:val="标准文件_章标题"/>
    <w:next w:val="56"/>
    <w:qFormat/>
    <w:uiPriority w:val="0"/>
    <w:pPr>
      <w:numPr>
        <w:ilvl w:val="1"/>
        <w:numId w:val="2"/>
      </w:numPr>
      <w:spacing w:before="100" w:beforeLines="100" w:after="100" w:afterLines="100"/>
      <w:jc w:val="both"/>
      <w:outlineLvl w:val="0"/>
    </w:pPr>
    <w:rPr>
      <w:rFonts w:ascii="黑体" w:hAnsi="Times New Roman" w:eastAsia="黑体" w:cs="Times New Roman"/>
      <w:sz w:val="21"/>
      <w:lang w:val="en-US" w:eastAsia="zh-CN" w:bidi="ar-SA"/>
    </w:rPr>
  </w:style>
  <w:style w:type="paragraph" w:customStyle="1" w:styleId="105">
    <w:name w:val="标准文件_一级条标题"/>
    <w:basedOn w:val="104"/>
    <w:next w:val="56"/>
    <w:qFormat/>
    <w:uiPriority w:val="0"/>
    <w:pPr>
      <w:numPr>
        <w:ilvl w:val="2"/>
      </w:numPr>
      <w:spacing w:before="50" w:beforeLines="50" w:after="50" w:afterLines="50"/>
      <w:outlineLvl w:val="1"/>
    </w:pPr>
  </w:style>
  <w:style w:type="paragraph" w:customStyle="1" w:styleId="106">
    <w:name w:val="标准文件_一致程度"/>
    <w:basedOn w:val="1"/>
    <w:qFormat/>
    <w:uiPriority w:val="0"/>
    <w:pPr>
      <w:spacing w:line="440" w:lineRule="exact"/>
      <w:jc w:val="center"/>
    </w:pPr>
    <w:rPr>
      <w:sz w:val="28"/>
    </w:rPr>
  </w:style>
  <w:style w:type="paragraph" w:customStyle="1" w:styleId="107">
    <w:name w:val="标准文件_引言标题"/>
    <w:next w:val="1"/>
    <w:qFormat/>
    <w:uiPriority w:val="0"/>
    <w:pPr>
      <w:shd w:val="clear" w:color="FFFFFF" w:fill="FFFFFF"/>
      <w:spacing w:before="540" w:after="600"/>
      <w:jc w:val="center"/>
      <w:outlineLvl w:val="0"/>
    </w:pPr>
    <w:rPr>
      <w:rFonts w:ascii="黑体" w:hAnsi="Times New Roman" w:eastAsia="黑体" w:cs="Times New Roman"/>
      <w:sz w:val="32"/>
      <w:lang w:val="en-US" w:eastAsia="zh-CN" w:bidi="ar-SA"/>
    </w:rPr>
  </w:style>
  <w:style w:type="paragraph" w:customStyle="1" w:styleId="108">
    <w:name w:val="标准文件_英文图表脚注"/>
    <w:basedOn w:val="55"/>
    <w:qFormat/>
    <w:uiPriority w:val="0"/>
    <w:pPr>
      <w:widowControl/>
      <w:adjustRightInd/>
      <w:snapToGrid/>
      <w:spacing w:line="240" w:lineRule="auto"/>
      <w:ind w:left="79" w:hanging="79" w:hangingChars="80"/>
    </w:pPr>
    <w:rPr>
      <w:rFonts w:ascii="宋体" w:hAnsi="宋体"/>
    </w:rPr>
  </w:style>
  <w:style w:type="paragraph" w:customStyle="1" w:styleId="109">
    <w:name w:val="标准文件_数字编号列项（二级）"/>
    <w:qFormat/>
    <w:uiPriority w:val="0"/>
    <w:pPr>
      <w:numPr>
        <w:ilvl w:val="1"/>
        <w:numId w:val="13"/>
      </w:numPr>
      <w:jc w:val="both"/>
    </w:pPr>
    <w:rPr>
      <w:rFonts w:ascii="宋体" w:hAnsi="Times New Roman" w:eastAsia="宋体" w:cs="Times New Roman"/>
      <w:sz w:val="21"/>
      <w:lang w:val="en-US" w:eastAsia="zh-CN" w:bidi="ar-SA"/>
    </w:rPr>
  </w:style>
  <w:style w:type="paragraph" w:customStyle="1" w:styleId="110">
    <w:name w:val="标准文件_英文注："/>
    <w:basedOn w:val="1"/>
    <w:next w:val="56"/>
    <w:qFormat/>
    <w:uiPriority w:val="0"/>
    <w:pPr>
      <w:numPr>
        <w:ilvl w:val="0"/>
        <w:numId w:val="14"/>
      </w:numPr>
      <w:tabs>
        <w:tab w:val="left" w:pos="420"/>
      </w:tabs>
      <w:autoSpaceDE w:val="0"/>
      <w:autoSpaceDN w:val="0"/>
      <w:spacing w:line="240" w:lineRule="auto"/>
    </w:pPr>
    <w:rPr>
      <w:rFonts w:ascii="宋体" w:hAnsi="宋体"/>
      <w:kern w:val="0"/>
      <w:sz w:val="18"/>
      <w:szCs w:val="20"/>
    </w:rPr>
  </w:style>
  <w:style w:type="paragraph" w:customStyle="1" w:styleId="111">
    <w:name w:val="标准文件_英文注×："/>
    <w:basedOn w:val="1"/>
    <w:qFormat/>
    <w:uiPriority w:val="0"/>
    <w:pPr>
      <w:numPr>
        <w:ilvl w:val="0"/>
        <w:numId w:val="15"/>
      </w:numPr>
      <w:tabs>
        <w:tab w:val="left" w:pos="210"/>
      </w:tabs>
      <w:autoSpaceDE w:val="0"/>
      <w:autoSpaceDN w:val="0"/>
      <w:spacing w:line="240" w:lineRule="auto"/>
    </w:pPr>
    <w:rPr>
      <w:rFonts w:ascii="宋体" w:hAnsi="宋体"/>
      <w:kern w:val="0"/>
      <w:szCs w:val="20"/>
    </w:rPr>
  </w:style>
  <w:style w:type="paragraph" w:customStyle="1" w:styleId="112">
    <w:name w:val="标准文件_正文表标题"/>
    <w:next w:val="56"/>
    <w:qFormat/>
    <w:uiPriority w:val="0"/>
    <w:pPr>
      <w:numPr>
        <w:ilvl w:val="0"/>
        <w:numId w:val="16"/>
      </w:numPr>
      <w:tabs>
        <w:tab w:val="left" w:pos="0"/>
      </w:tabs>
      <w:spacing w:before="50" w:beforeLines="50" w:after="50" w:afterLines="50"/>
      <w:jc w:val="center"/>
    </w:pPr>
    <w:rPr>
      <w:rFonts w:ascii="黑体" w:hAnsi="Times New Roman" w:eastAsia="黑体" w:cs="Times New Roman"/>
      <w:sz w:val="21"/>
      <w:lang w:val="en-US" w:eastAsia="zh-CN" w:bidi="ar-SA"/>
    </w:rPr>
  </w:style>
  <w:style w:type="paragraph" w:customStyle="1" w:styleId="113">
    <w:name w:val="标准文件_正文公式"/>
    <w:basedOn w:val="1"/>
    <w:next w:val="55"/>
    <w:qFormat/>
    <w:uiPriority w:val="0"/>
    <w:pPr>
      <w:tabs>
        <w:tab w:val="center" w:pos="4678"/>
        <w:tab w:val="right" w:leader="middleDot" w:pos="9356"/>
      </w:tabs>
      <w:spacing w:line="240" w:lineRule="auto"/>
    </w:pPr>
    <w:rPr>
      <w:rFonts w:ascii="宋体" w:hAnsi="宋体"/>
    </w:rPr>
  </w:style>
  <w:style w:type="paragraph" w:customStyle="1" w:styleId="114">
    <w:name w:val="标准文件_正文图标题"/>
    <w:next w:val="56"/>
    <w:qFormat/>
    <w:uiPriority w:val="0"/>
    <w:pPr>
      <w:numPr>
        <w:ilvl w:val="0"/>
        <w:numId w:val="17"/>
      </w:numPr>
      <w:spacing w:before="50" w:beforeLines="50" w:after="50" w:afterLines="50"/>
      <w:jc w:val="center"/>
    </w:pPr>
    <w:rPr>
      <w:rFonts w:ascii="黑体" w:hAnsi="Times New Roman" w:eastAsia="黑体" w:cs="Times New Roman"/>
      <w:sz w:val="21"/>
      <w:lang w:val="en-US" w:eastAsia="zh-CN" w:bidi="ar-SA"/>
    </w:rPr>
  </w:style>
  <w:style w:type="paragraph" w:customStyle="1" w:styleId="115">
    <w:name w:val="标准文件_正文英文表标题"/>
    <w:next w:val="56"/>
    <w:qFormat/>
    <w:uiPriority w:val="0"/>
    <w:pPr>
      <w:numPr>
        <w:ilvl w:val="0"/>
        <w:numId w:val="18"/>
      </w:numPr>
      <w:jc w:val="center"/>
    </w:pPr>
    <w:rPr>
      <w:rFonts w:ascii="黑体" w:hAnsi="Times New Roman" w:eastAsia="黑体" w:cs="Times New Roman"/>
      <w:sz w:val="21"/>
      <w:lang w:val="en-US" w:eastAsia="zh-CN" w:bidi="ar-SA"/>
    </w:rPr>
  </w:style>
  <w:style w:type="paragraph" w:customStyle="1" w:styleId="116">
    <w:name w:val="标准文件_正文英文图标题"/>
    <w:next w:val="56"/>
    <w:qFormat/>
    <w:uiPriority w:val="0"/>
    <w:pPr>
      <w:numPr>
        <w:ilvl w:val="0"/>
        <w:numId w:val="19"/>
      </w:numPr>
      <w:jc w:val="center"/>
    </w:pPr>
    <w:rPr>
      <w:rFonts w:ascii="黑体" w:hAnsi="Times New Roman" w:eastAsia="黑体" w:cs="Times New Roman"/>
      <w:sz w:val="21"/>
      <w:lang w:val="en-US" w:eastAsia="zh-CN" w:bidi="ar-SA"/>
    </w:rPr>
  </w:style>
  <w:style w:type="paragraph" w:customStyle="1" w:styleId="117">
    <w:name w:val="标准文件_编号列项（三级）"/>
    <w:qFormat/>
    <w:uiPriority w:val="0"/>
    <w:pPr>
      <w:numPr>
        <w:ilvl w:val="2"/>
        <w:numId w:val="13"/>
      </w:numPr>
    </w:pPr>
    <w:rPr>
      <w:rFonts w:ascii="宋体" w:hAnsi="Times New Roman" w:eastAsia="宋体" w:cs="Times New Roman"/>
      <w:sz w:val="21"/>
      <w:lang w:val="en-US" w:eastAsia="zh-CN" w:bidi="ar-SA"/>
    </w:rPr>
  </w:style>
  <w:style w:type="paragraph" w:customStyle="1" w:styleId="118">
    <w:name w:val="二级无标题条"/>
    <w:basedOn w:val="1"/>
    <w:qFormat/>
    <w:uiPriority w:val="0"/>
    <w:pPr>
      <w:numPr>
        <w:ilvl w:val="3"/>
        <w:numId w:val="20"/>
      </w:numPr>
      <w:adjustRightInd/>
      <w:spacing w:line="240" w:lineRule="auto"/>
    </w:pPr>
    <w:rPr>
      <w:rFonts w:ascii="宋体" w:hAnsi="宋体"/>
      <w:szCs w:val="24"/>
    </w:rPr>
  </w:style>
  <w:style w:type="paragraph" w:customStyle="1" w:styleId="119">
    <w:name w:val="发布部门"/>
    <w:next w:val="56"/>
    <w:qFormat/>
    <w:uiPriority w:val="0"/>
    <w:pPr>
      <w:framePr w:w="7433" w:h="585" w:hRule="exact" w:hSpace="180" w:vSpace="180" w:wrap="around" w:vAnchor="margin" w:hAnchor="margin" w:xAlign="center" w:y="14401" w:anchorLock="1"/>
      <w:jc w:val="center"/>
    </w:pPr>
    <w:rPr>
      <w:rFonts w:ascii="宋体" w:hAnsi="Times New Roman" w:eastAsia="宋体" w:cs="Times New Roman"/>
      <w:b/>
      <w:w w:val="135"/>
      <w:sz w:val="36"/>
      <w:lang w:val="en-US" w:eastAsia="zh-CN" w:bidi="ar-SA"/>
    </w:rPr>
  </w:style>
  <w:style w:type="paragraph" w:customStyle="1" w:styleId="120">
    <w:name w:val="发布日期"/>
    <w:qFormat/>
    <w:uiPriority w:val="0"/>
    <w:pPr>
      <w:framePr w:w="4000" w:h="473" w:hRule="exact" w:hSpace="180" w:vSpace="180" w:wrap="around" w:vAnchor="margin" w:hAnchor="margin" w:y="13511" w:anchorLock="1"/>
    </w:pPr>
    <w:rPr>
      <w:rFonts w:ascii="Times New Roman" w:hAnsi="Times New Roman" w:eastAsia="黑体" w:cs="Times New Roman"/>
      <w:sz w:val="28"/>
      <w:lang w:val="en-US" w:eastAsia="zh-CN" w:bidi="ar-SA"/>
    </w:rPr>
  </w:style>
  <w:style w:type="paragraph" w:customStyle="1" w:styleId="121">
    <w:name w:val="封面标准代替信息"/>
    <w:basedOn w:val="1"/>
    <w:qFormat/>
    <w:uiPriority w:val="0"/>
    <w:pPr>
      <w:framePr w:w="9138" w:h="1244" w:hRule="exact" w:wrap="auto" w:vAnchor="page" w:hAnchor="margin" w:y="2908"/>
      <w:kinsoku w:val="0"/>
      <w:overflowPunct w:val="0"/>
      <w:autoSpaceDE w:val="0"/>
      <w:autoSpaceDN w:val="0"/>
      <w:spacing w:before="57" w:line="280" w:lineRule="exact"/>
      <w:jc w:val="right"/>
      <w:textAlignment w:val="center"/>
    </w:pPr>
    <w:rPr>
      <w:rFonts w:ascii="宋体" w:hAnsi="Times New Roman"/>
      <w:kern w:val="0"/>
      <w:szCs w:val="20"/>
    </w:rPr>
  </w:style>
  <w:style w:type="paragraph" w:customStyle="1" w:styleId="122">
    <w:name w:val="封面标准名称"/>
    <w:qFormat/>
    <w:uiPriority w:val="0"/>
    <w:pPr>
      <w:framePr w:w="9638" w:h="6917" w:hRule="exact" w:wrap="around" w:vAnchor="margin" w:hAnchor="margin" w:xAlign="center" w:y="5955" w:anchorLock="1"/>
      <w:widowControl w:val="0"/>
      <w:spacing w:line="680" w:lineRule="exact"/>
      <w:jc w:val="center"/>
      <w:textAlignment w:val="center"/>
    </w:pPr>
    <w:rPr>
      <w:rFonts w:ascii="黑体" w:hAnsi="Times New Roman" w:eastAsia="黑体" w:cs="Times New Roman"/>
      <w:sz w:val="52"/>
      <w:lang w:val="en-US" w:eastAsia="zh-CN" w:bidi="ar-SA"/>
    </w:rPr>
  </w:style>
  <w:style w:type="paragraph" w:customStyle="1" w:styleId="123">
    <w:name w:val="封面标准文稿编辑信息"/>
    <w:qFormat/>
    <w:uiPriority w:val="0"/>
    <w:pPr>
      <w:spacing w:before="180" w:line="180" w:lineRule="exact"/>
      <w:jc w:val="center"/>
    </w:pPr>
    <w:rPr>
      <w:rFonts w:ascii="宋体" w:hAnsi="Times New Roman" w:eastAsia="宋体" w:cs="Times New Roman"/>
      <w:sz w:val="21"/>
      <w:lang w:val="en-US" w:eastAsia="zh-CN" w:bidi="ar-SA"/>
    </w:rPr>
  </w:style>
  <w:style w:type="paragraph" w:customStyle="1" w:styleId="124">
    <w:name w:val="封面标准文稿类别"/>
    <w:qFormat/>
    <w:uiPriority w:val="0"/>
    <w:pPr>
      <w:spacing w:before="440" w:line="400" w:lineRule="exact"/>
      <w:jc w:val="center"/>
    </w:pPr>
    <w:rPr>
      <w:rFonts w:ascii="宋体" w:hAnsi="Times New Roman" w:eastAsia="宋体" w:cs="Times New Roman"/>
      <w:sz w:val="24"/>
      <w:lang w:val="en-US" w:eastAsia="zh-CN" w:bidi="ar-SA"/>
    </w:rPr>
  </w:style>
  <w:style w:type="paragraph" w:customStyle="1" w:styleId="125">
    <w:name w:val="封面标准英文名称"/>
    <w:qFormat/>
    <w:uiPriority w:val="0"/>
    <w:pPr>
      <w:widowControl w:val="0"/>
      <w:spacing w:line="360" w:lineRule="exact"/>
      <w:jc w:val="center"/>
    </w:pPr>
    <w:rPr>
      <w:rFonts w:ascii="Times New Roman" w:hAnsi="Times New Roman" w:eastAsia="宋体" w:cs="Times New Roman"/>
      <w:sz w:val="28"/>
      <w:lang w:val="en-US" w:eastAsia="zh-CN" w:bidi="ar-SA"/>
    </w:rPr>
  </w:style>
  <w:style w:type="paragraph" w:customStyle="1" w:styleId="126">
    <w:name w:val="封面一致性程度标识"/>
    <w:qFormat/>
    <w:uiPriority w:val="0"/>
    <w:pPr>
      <w:spacing w:before="440" w:line="440" w:lineRule="exact"/>
      <w:jc w:val="center"/>
    </w:pPr>
    <w:rPr>
      <w:rFonts w:ascii="Times New Roman" w:hAnsi="Times New Roman" w:eastAsia="宋体" w:cs="Times New Roman"/>
      <w:sz w:val="28"/>
      <w:lang w:val="en-US" w:eastAsia="zh-CN" w:bidi="ar-SA"/>
    </w:rPr>
  </w:style>
  <w:style w:type="paragraph" w:customStyle="1" w:styleId="127">
    <w:name w:val="封面正文"/>
    <w:qFormat/>
    <w:uiPriority w:val="0"/>
    <w:pPr>
      <w:jc w:val="both"/>
    </w:pPr>
    <w:rPr>
      <w:rFonts w:ascii="Times New Roman" w:hAnsi="Times New Roman" w:eastAsia="宋体" w:cs="Times New Roman"/>
      <w:lang w:val="en-US" w:eastAsia="zh-CN" w:bidi="ar-SA"/>
    </w:rPr>
  </w:style>
  <w:style w:type="paragraph" w:customStyle="1" w:styleId="128">
    <w:name w:val="附录二级无标题条"/>
    <w:basedOn w:val="1"/>
    <w:next w:val="56"/>
    <w:qFormat/>
    <w:uiPriority w:val="0"/>
    <w:pPr>
      <w:widowControl/>
      <w:wordWrap w:val="0"/>
      <w:overflowPunct w:val="0"/>
      <w:autoSpaceDE w:val="0"/>
      <w:autoSpaceDN w:val="0"/>
      <w:adjustRightInd/>
      <w:spacing w:line="240" w:lineRule="auto"/>
      <w:textAlignment w:val="baseline"/>
      <w:outlineLvl w:val="3"/>
    </w:pPr>
    <w:rPr>
      <w:rFonts w:ascii="宋体" w:hAnsi="宋体"/>
      <w:kern w:val="21"/>
    </w:rPr>
  </w:style>
  <w:style w:type="paragraph" w:customStyle="1" w:styleId="129">
    <w:name w:val="附录三级无标题条"/>
    <w:basedOn w:val="128"/>
    <w:next w:val="56"/>
    <w:qFormat/>
    <w:uiPriority w:val="0"/>
    <w:pPr>
      <w:outlineLvl w:val="4"/>
    </w:pPr>
  </w:style>
  <w:style w:type="paragraph" w:customStyle="1" w:styleId="130">
    <w:name w:val="附录四级无标题条"/>
    <w:basedOn w:val="129"/>
    <w:next w:val="56"/>
    <w:qFormat/>
    <w:uiPriority w:val="0"/>
    <w:pPr>
      <w:outlineLvl w:val="5"/>
    </w:pPr>
  </w:style>
  <w:style w:type="paragraph" w:customStyle="1" w:styleId="131">
    <w:name w:val="附录图"/>
    <w:next w:val="56"/>
    <w:qFormat/>
    <w:uiPriority w:val="0"/>
    <w:pPr>
      <w:wordWrap w:val="0"/>
      <w:overflowPunct w:val="0"/>
      <w:autoSpaceDE w:val="0"/>
      <w:spacing w:before="50" w:beforeLines="50" w:after="50" w:afterLines="50"/>
      <w:jc w:val="center"/>
      <w:textAlignment w:val="baseline"/>
      <w:outlineLvl w:val="1"/>
    </w:pPr>
    <w:rPr>
      <w:rFonts w:ascii="黑体" w:hAnsi="Times New Roman" w:eastAsia="黑体" w:cs="Times New Roman"/>
      <w:kern w:val="21"/>
      <w:sz w:val="21"/>
      <w:lang w:val="en-US" w:eastAsia="zh-CN" w:bidi="ar-SA"/>
    </w:rPr>
  </w:style>
  <w:style w:type="paragraph" w:customStyle="1" w:styleId="132">
    <w:name w:val="标准文件_一级项"/>
    <w:qFormat/>
    <w:uiPriority w:val="0"/>
    <w:pPr>
      <w:numPr>
        <w:ilvl w:val="0"/>
        <w:numId w:val="21"/>
      </w:numPr>
    </w:pPr>
    <w:rPr>
      <w:rFonts w:ascii="宋体" w:hAnsi="Times New Roman" w:eastAsia="宋体" w:cs="Times New Roman"/>
      <w:sz w:val="21"/>
      <w:lang w:val="en-US" w:eastAsia="zh-CN" w:bidi="ar-SA"/>
    </w:rPr>
  </w:style>
  <w:style w:type="paragraph" w:customStyle="1" w:styleId="133">
    <w:name w:val="附录五级无标题条"/>
    <w:basedOn w:val="130"/>
    <w:next w:val="56"/>
    <w:qFormat/>
    <w:uiPriority w:val="0"/>
    <w:pPr>
      <w:outlineLvl w:val="6"/>
    </w:pPr>
  </w:style>
  <w:style w:type="paragraph" w:customStyle="1" w:styleId="134">
    <w:name w:val="附录性质"/>
    <w:basedOn w:val="1"/>
    <w:qFormat/>
    <w:uiPriority w:val="0"/>
    <w:pPr>
      <w:widowControl/>
      <w:adjustRightInd/>
      <w:jc w:val="center"/>
    </w:pPr>
    <w:rPr>
      <w:rFonts w:ascii="黑体" w:eastAsia="黑体"/>
    </w:rPr>
  </w:style>
  <w:style w:type="paragraph" w:customStyle="1" w:styleId="135">
    <w:name w:val="附录一级无标题条"/>
    <w:basedOn w:val="87"/>
    <w:next w:val="56"/>
    <w:qFormat/>
    <w:uiPriority w:val="0"/>
    <w:pPr>
      <w:autoSpaceDN w:val="0"/>
      <w:outlineLvl w:val="2"/>
    </w:pPr>
    <w:rPr>
      <w:rFonts w:ascii="宋体" w:hAnsi="宋体" w:eastAsia="宋体"/>
    </w:rPr>
  </w:style>
  <w:style w:type="character" w:customStyle="1" w:styleId="136">
    <w:name w:val="个人答复风格"/>
    <w:qFormat/>
    <w:uiPriority w:val="0"/>
    <w:rPr>
      <w:rFonts w:ascii="Arial" w:hAnsi="Arial" w:eastAsia="宋体" w:cs="Arial"/>
      <w:color w:val="auto"/>
      <w:spacing w:val="0"/>
      <w:sz w:val="20"/>
    </w:rPr>
  </w:style>
  <w:style w:type="character" w:customStyle="1" w:styleId="137">
    <w:name w:val="个人撰写风格"/>
    <w:qFormat/>
    <w:uiPriority w:val="0"/>
    <w:rPr>
      <w:rFonts w:ascii="Arial" w:hAnsi="Arial" w:eastAsia="宋体" w:cs="Arial"/>
      <w:color w:val="auto"/>
      <w:spacing w:val="0"/>
      <w:sz w:val="20"/>
    </w:rPr>
  </w:style>
  <w:style w:type="paragraph" w:customStyle="1" w:styleId="138">
    <w:name w:val="脚注后续"/>
    <w:qFormat/>
    <w:uiPriority w:val="0"/>
    <w:pPr>
      <w:ind w:left="350" w:leftChars="350"/>
      <w:jc w:val="both"/>
    </w:pPr>
    <w:rPr>
      <w:rFonts w:ascii="宋体" w:hAnsi="Times New Roman" w:eastAsia="宋体" w:cs="Times New Roman"/>
      <w:sz w:val="18"/>
      <w:lang w:val="en-US" w:eastAsia="zh-CN" w:bidi="ar-SA"/>
    </w:rPr>
  </w:style>
  <w:style w:type="paragraph" w:customStyle="1" w:styleId="139">
    <w:name w:val="列项——"/>
    <w:qFormat/>
    <w:uiPriority w:val="0"/>
    <w:pPr>
      <w:widowControl w:val="0"/>
      <w:numPr>
        <w:ilvl w:val="0"/>
        <w:numId w:val="22"/>
      </w:numPr>
      <w:jc w:val="both"/>
    </w:pPr>
    <w:rPr>
      <w:rFonts w:ascii="宋体" w:hAnsi="宋体" w:eastAsia="宋体" w:cs="Times New Roman"/>
      <w:sz w:val="21"/>
      <w:lang w:val="en-US" w:eastAsia="zh-CN" w:bidi="ar-SA"/>
    </w:rPr>
  </w:style>
  <w:style w:type="paragraph" w:customStyle="1" w:styleId="140">
    <w:name w:val="列项·"/>
    <w:basedOn w:val="56"/>
    <w:qFormat/>
    <w:uiPriority w:val="0"/>
    <w:pPr>
      <w:tabs>
        <w:tab w:val="left" w:pos="840"/>
      </w:tabs>
    </w:pPr>
  </w:style>
  <w:style w:type="paragraph" w:customStyle="1" w:styleId="141">
    <w:name w:val="目次、索引正文"/>
    <w:qFormat/>
    <w:uiPriority w:val="0"/>
    <w:pPr>
      <w:spacing w:line="320" w:lineRule="exact"/>
      <w:jc w:val="both"/>
    </w:pPr>
    <w:rPr>
      <w:rFonts w:ascii="宋体" w:hAnsi="Times New Roman" w:eastAsia="宋体" w:cs="Times New Roman"/>
      <w:sz w:val="21"/>
      <w:lang w:val="en-US" w:eastAsia="zh-CN" w:bidi="ar-SA"/>
    </w:rPr>
  </w:style>
  <w:style w:type="paragraph" w:customStyle="1" w:styleId="142">
    <w:name w:val="目录 21"/>
    <w:basedOn w:val="1"/>
    <w:next w:val="1"/>
    <w:semiHidden/>
    <w:qFormat/>
    <w:uiPriority w:val="0"/>
    <w:pPr>
      <w:adjustRightInd/>
      <w:spacing w:line="240" w:lineRule="auto"/>
      <w:jc w:val="left"/>
    </w:pPr>
    <w:rPr>
      <w:bCs/>
      <w:iCs/>
    </w:rPr>
  </w:style>
  <w:style w:type="paragraph" w:customStyle="1" w:styleId="143">
    <w:name w:val="目录 31"/>
    <w:basedOn w:val="1"/>
    <w:next w:val="1"/>
    <w:semiHidden/>
    <w:qFormat/>
    <w:uiPriority w:val="0"/>
    <w:pPr>
      <w:spacing w:line="240" w:lineRule="auto"/>
    </w:pPr>
    <w:rPr>
      <w:rFonts w:ascii="宋体" w:hAnsi="宋体"/>
      <w:iCs/>
    </w:rPr>
  </w:style>
  <w:style w:type="paragraph" w:customStyle="1" w:styleId="144">
    <w:name w:val="目录 41"/>
    <w:basedOn w:val="1"/>
    <w:next w:val="1"/>
    <w:semiHidden/>
    <w:qFormat/>
    <w:uiPriority w:val="0"/>
    <w:pPr>
      <w:adjustRightInd/>
      <w:spacing w:line="240" w:lineRule="auto"/>
      <w:jc w:val="left"/>
    </w:pPr>
  </w:style>
  <w:style w:type="paragraph" w:customStyle="1" w:styleId="145">
    <w:name w:val="目录 51"/>
    <w:basedOn w:val="1"/>
    <w:next w:val="1"/>
    <w:semiHidden/>
    <w:qFormat/>
    <w:uiPriority w:val="0"/>
    <w:pPr>
      <w:spacing w:line="240" w:lineRule="auto"/>
    </w:pPr>
    <w:rPr>
      <w:rFonts w:ascii="宋体" w:hAnsi="宋体"/>
    </w:rPr>
  </w:style>
  <w:style w:type="paragraph" w:customStyle="1" w:styleId="146">
    <w:name w:val="目录 61"/>
    <w:basedOn w:val="1"/>
    <w:next w:val="1"/>
    <w:semiHidden/>
    <w:qFormat/>
    <w:uiPriority w:val="0"/>
    <w:pPr>
      <w:adjustRightInd/>
      <w:spacing w:line="240" w:lineRule="auto"/>
      <w:jc w:val="left"/>
    </w:pPr>
  </w:style>
  <w:style w:type="paragraph" w:customStyle="1" w:styleId="147">
    <w:name w:val="目录 71"/>
    <w:basedOn w:val="146"/>
    <w:semiHidden/>
    <w:qFormat/>
    <w:uiPriority w:val="0"/>
    <w:pPr>
      <w:ind w:left="1260"/>
    </w:pPr>
  </w:style>
  <w:style w:type="paragraph" w:customStyle="1" w:styleId="148">
    <w:name w:val="目录 81"/>
    <w:basedOn w:val="147"/>
    <w:semiHidden/>
    <w:qFormat/>
    <w:uiPriority w:val="0"/>
    <w:pPr>
      <w:ind w:left="1470"/>
    </w:pPr>
  </w:style>
  <w:style w:type="paragraph" w:customStyle="1" w:styleId="149">
    <w:name w:val="目录 91"/>
    <w:basedOn w:val="148"/>
    <w:semiHidden/>
    <w:qFormat/>
    <w:uiPriority w:val="0"/>
    <w:pPr>
      <w:ind w:left="1680"/>
    </w:pPr>
  </w:style>
  <w:style w:type="paragraph" w:customStyle="1" w:styleId="150">
    <w:name w:val="其他标准称谓"/>
    <w:qFormat/>
    <w:uiPriority w:val="0"/>
    <w:pPr>
      <w:spacing w:line="0" w:lineRule="atLeast"/>
      <w:jc w:val="distribute"/>
    </w:pPr>
    <w:rPr>
      <w:rFonts w:ascii="黑体" w:hAnsi="宋体" w:eastAsia="黑体" w:cs="Times New Roman"/>
      <w:sz w:val="52"/>
      <w:lang w:val="en-US" w:eastAsia="zh-CN" w:bidi="ar-SA"/>
    </w:rPr>
  </w:style>
  <w:style w:type="paragraph" w:customStyle="1" w:styleId="151">
    <w:name w:val="其他发布部门"/>
    <w:basedOn w:val="119"/>
    <w:qFormat/>
    <w:uiPriority w:val="0"/>
    <w:pPr>
      <w:framePr/>
      <w:spacing w:line="0" w:lineRule="atLeast"/>
    </w:pPr>
    <w:rPr>
      <w:rFonts w:ascii="黑体" w:eastAsia="黑体"/>
      <w:b w:val="0"/>
    </w:rPr>
  </w:style>
  <w:style w:type="paragraph" w:customStyle="1" w:styleId="152">
    <w:name w:val="前言标题"/>
    <w:next w:val="1"/>
    <w:qFormat/>
    <w:uiPriority w:val="0"/>
    <w:pPr>
      <w:numPr>
        <w:ilvl w:val="0"/>
        <w:numId w:val="2"/>
      </w:numPr>
      <w:shd w:val="clear" w:color="FFFFFF" w:fill="FFFFFF"/>
      <w:spacing w:before="540" w:after="600"/>
      <w:jc w:val="center"/>
      <w:outlineLvl w:val="0"/>
    </w:pPr>
    <w:rPr>
      <w:rFonts w:ascii="黑体" w:hAnsi="Times New Roman" w:eastAsia="黑体" w:cs="Times New Roman"/>
      <w:sz w:val="32"/>
      <w:lang w:val="en-US" w:eastAsia="zh-CN" w:bidi="ar-SA"/>
    </w:rPr>
  </w:style>
  <w:style w:type="paragraph" w:customStyle="1" w:styleId="153">
    <w:name w:val="三级无标题条"/>
    <w:basedOn w:val="1"/>
    <w:qFormat/>
    <w:uiPriority w:val="0"/>
    <w:pPr>
      <w:numPr>
        <w:ilvl w:val="4"/>
        <w:numId w:val="20"/>
      </w:numPr>
      <w:adjustRightInd/>
      <w:spacing w:line="240" w:lineRule="auto"/>
    </w:pPr>
    <w:rPr>
      <w:rFonts w:ascii="宋体" w:hAnsi="宋体"/>
      <w:szCs w:val="24"/>
    </w:rPr>
  </w:style>
  <w:style w:type="paragraph" w:customStyle="1" w:styleId="154">
    <w:name w:val="实施日期"/>
    <w:basedOn w:val="120"/>
    <w:qFormat/>
    <w:uiPriority w:val="0"/>
    <w:pPr>
      <w:framePr w:hSpace="0" w:xAlign="right"/>
      <w:jc w:val="right"/>
    </w:pPr>
  </w:style>
  <w:style w:type="paragraph" w:customStyle="1" w:styleId="155">
    <w:name w:val="四级无标题条"/>
    <w:basedOn w:val="1"/>
    <w:qFormat/>
    <w:uiPriority w:val="0"/>
    <w:pPr>
      <w:numPr>
        <w:ilvl w:val="5"/>
        <w:numId w:val="20"/>
      </w:numPr>
      <w:adjustRightInd/>
      <w:spacing w:line="240" w:lineRule="auto"/>
    </w:pPr>
    <w:rPr>
      <w:rFonts w:ascii="宋体" w:hAnsi="宋体"/>
      <w:szCs w:val="24"/>
    </w:rPr>
  </w:style>
  <w:style w:type="paragraph" w:customStyle="1" w:styleId="156">
    <w:name w:val="文献分类号"/>
    <w:qFormat/>
    <w:uiPriority w:val="0"/>
    <w:pPr>
      <w:framePr w:hSpace="180" w:vSpace="180" w:wrap="around" w:vAnchor="margin" w:hAnchor="margin" w:y="1" w:anchorLock="1"/>
      <w:widowControl w:val="0"/>
      <w:textAlignment w:val="center"/>
    </w:pPr>
    <w:rPr>
      <w:rFonts w:ascii="Times New Roman" w:hAnsi="Times New Roman" w:eastAsia="黑体" w:cs="Times New Roman"/>
      <w:sz w:val="21"/>
      <w:lang w:val="en-US" w:eastAsia="zh-CN" w:bidi="ar-SA"/>
    </w:rPr>
  </w:style>
  <w:style w:type="paragraph" w:customStyle="1" w:styleId="157">
    <w:name w:val="无标题条"/>
    <w:next w:val="56"/>
    <w:qFormat/>
    <w:uiPriority w:val="0"/>
    <w:pPr>
      <w:jc w:val="both"/>
    </w:pPr>
    <w:rPr>
      <w:rFonts w:ascii="宋体" w:hAnsi="宋体" w:eastAsia="宋体" w:cs="Times New Roman"/>
      <w:sz w:val="21"/>
      <w:lang w:val="en-US" w:eastAsia="zh-CN" w:bidi="ar-SA"/>
    </w:rPr>
  </w:style>
  <w:style w:type="paragraph" w:customStyle="1" w:styleId="158">
    <w:name w:val="五级无标题条"/>
    <w:basedOn w:val="1"/>
    <w:qFormat/>
    <w:uiPriority w:val="0"/>
    <w:pPr>
      <w:numPr>
        <w:ilvl w:val="6"/>
        <w:numId w:val="20"/>
      </w:numPr>
      <w:adjustRightInd/>
    </w:pPr>
    <w:rPr>
      <w:szCs w:val="24"/>
    </w:rPr>
  </w:style>
  <w:style w:type="paragraph" w:customStyle="1" w:styleId="159">
    <w:name w:val="一级无标题条"/>
    <w:basedOn w:val="1"/>
    <w:qFormat/>
    <w:uiPriority w:val="0"/>
    <w:pPr>
      <w:numPr>
        <w:ilvl w:val="2"/>
        <w:numId w:val="20"/>
      </w:numPr>
      <w:adjustRightInd/>
      <w:spacing w:before="10" w:after="10" w:line="240" w:lineRule="auto"/>
    </w:pPr>
    <w:rPr>
      <w:rFonts w:ascii="宋体" w:hAnsi="宋体"/>
      <w:szCs w:val="24"/>
    </w:rPr>
  </w:style>
  <w:style w:type="paragraph" w:customStyle="1" w:styleId="160">
    <w:name w:val="注:后续"/>
    <w:qFormat/>
    <w:uiPriority w:val="0"/>
    <w:pPr>
      <w:spacing w:line="300" w:lineRule="exact"/>
      <w:ind w:left="600" w:leftChars="400" w:hanging="200" w:hangingChars="200"/>
      <w:jc w:val="both"/>
    </w:pPr>
    <w:rPr>
      <w:rFonts w:ascii="宋体" w:hAnsi="Times New Roman" w:eastAsia="宋体" w:cs="Times New Roman"/>
      <w:sz w:val="18"/>
      <w:lang w:val="en-US" w:eastAsia="zh-CN" w:bidi="ar-SA"/>
    </w:rPr>
  </w:style>
  <w:style w:type="paragraph" w:customStyle="1" w:styleId="161">
    <w:name w:val="注×:后续"/>
    <w:basedOn w:val="160"/>
    <w:qFormat/>
    <w:uiPriority w:val="0"/>
    <w:pPr>
      <w:ind w:left="1406" w:leftChars="0" w:hanging="499" w:firstLineChars="0"/>
    </w:pPr>
  </w:style>
  <w:style w:type="paragraph" w:customStyle="1" w:styleId="162">
    <w:name w:val="标准文件_一级无标题"/>
    <w:basedOn w:val="105"/>
    <w:qFormat/>
    <w:uiPriority w:val="0"/>
    <w:pPr>
      <w:spacing w:before="0" w:beforeLines="0" w:after="0" w:afterLines="0"/>
      <w:outlineLvl w:val="9"/>
    </w:pPr>
    <w:rPr>
      <w:rFonts w:ascii="宋体" w:eastAsia="宋体"/>
    </w:rPr>
  </w:style>
  <w:style w:type="paragraph" w:customStyle="1" w:styleId="163">
    <w:name w:val="标准文件_五级无标题"/>
    <w:basedOn w:val="103"/>
    <w:qFormat/>
    <w:uiPriority w:val="0"/>
    <w:pPr>
      <w:spacing w:before="0" w:beforeLines="0" w:after="0" w:afterLines="0"/>
      <w:outlineLvl w:val="9"/>
    </w:pPr>
    <w:rPr>
      <w:rFonts w:ascii="宋体" w:eastAsia="宋体"/>
    </w:rPr>
  </w:style>
  <w:style w:type="paragraph" w:customStyle="1" w:styleId="164">
    <w:name w:val="标准文件_三级无标题"/>
    <w:basedOn w:val="94"/>
    <w:qFormat/>
    <w:uiPriority w:val="0"/>
    <w:pPr>
      <w:spacing w:before="0" w:beforeLines="0" w:after="0" w:afterLines="0"/>
      <w:outlineLvl w:val="9"/>
    </w:pPr>
    <w:rPr>
      <w:rFonts w:ascii="宋体" w:eastAsia="宋体"/>
    </w:rPr>
  </w:style>
  <w:style w:type="paragraph" w:customStyle="1" w:styleId="165">
    <w:name w:val="标准文件_二级无标题"/>
    <w:basedOn w:val="65"/>
    <w:qFormat/>
    <w:uiPriority w:val="0"/>
    <w:pPr>
      <w:spacing w:before="0" w:beforeLines="0" w:after="0" w:afterLines="0"/>
      <w:outlineLvl w:val="9"/>
    </w:pPr>
    <w:rPr>
      <w:rFonts w:ascii="宋体" w:eastAsia="宋体"/>
    </w:rPr>
  </w:style>
  <w:style w:type="paragraph" w:customStyle="1" w:styleId="166">
    <w:name w:val="标准_四级无标题"/>
    <w:basedOn w:val="98"/>
    <w:next w:val="56"/>
    <w:qFormat/>
    <w:uiPriority w:val="0"/>
    <w:rPr>
      <w:rFonts w:eastAsia="宋体"/>
    </w:rPr>
  </w:style>
  <w:style w:type="paragraph" w:customStyle="1" w:styleId="167">
    <w:name w:val="标准文件_四级无标题"/>
    <w:basedOn w:val="98"/>
    <w:qFormat/>
    <w:uiPriority w:val="0"/>
    <w:pPr>
      <w:spacing w:before="0" w:beforeLines="0" w:after="0" w:afterLines="0"/>
      <w:outlineLvl w:val="9"/>
    </w:pPr>
    <w:rPr>
      <w:rFonts w:ascii="宋体" w:hAnsi="黑体" w:eastAsia="宋体"/>
      <w:szCs w:val="52"/>
    </w:rPr>
  </w:style>
  <w:style w:type="paragraph" w:customStyle="1" w:styleId="168">
    <w:name w:val="标准文件_大写罗马数字编号列项"/>
    <w:basedOn w:val="56"/>
    <w:qFormat/>
    <w:uiPriority w:val="0"/>
    <w:pPr>
      <w:numPr>
        <w:ilvl w:val="0"/>
        <w:numId w:val="23"/>
      </w:numPr>
      <w:ind w:firstLine="0" w:firstLineChars="0"/>
    </w:pPr>
    <w:rPr>
      <w:rFonts w:ascii="Times New Roman" w:cs="Arial"/>
      <w:szCs w:val="28"/>
    </w:rPr>
  </w:style>
  <w:style w:type="paragraph" w:customStyle="1" w:styleId="169">
    <w:name w:val="标准文件_小写罗马数字编号列项"/>
    <w:basedOn w:val="56"/>
    <w:qFormat/>
    <w:uiPriority w:val="0"/>
    <w:pPr>
      <w:numPr>
        <w:ilvl w:val="0"/>
        <w:numId w:val="24"/>
      </w:numPr>
      <w:ind w:firstLine="0" w:firstLineChars="0"/>
    </w:pPr>
    <w:rPr>
      <w:rFonts w:cs="Arial"/>
      <w:szCs w:val="28"/>
    </w:rPr>
  </w:style>
  <w:style w:type="paragraph" w:customStyle="1" w:styleId="170">
    <w:name w:val="标准文件_附录标题"/>
    <w:basedOn w:val="76"/>
    <w:qFormat/>
    <w:uiPriority w:val="0"/>
    <w:pPr>
      <w:numPr>
        <w:numId w:val="0"/>
      </w:numPr>
      <w:spacing w:after="280"/>
      <w:outlineLvl w:val="9"/>
    </w:pPr>
  </w:style>
  <w:style w:type="paragraph" w:customStyle="1" w:styleId="171">
    <w:name w:val="标准文件_二级项"/>
    <w:qFormat/>
    <w:uiPriority w:val="0"/>
    <w:rPr>
      <w:rFonts w:ascii="宋体" w:hAnsi="Times New Roman" w:eastAsia="宋体" w:cs="Times New Roman"/>
      <w:sz w:val="21"/>
      <w:lang w:val="en-US" w:eastAsia="zh-CN" w:bidi="ar-SA"/>
    </w:rPr>
  </w:style>
  <w:style w:type="paragraph" w:customStyle="1" w:styleId="172">
    <w:name w:val="标准文件_三级项"/>
    <w:basedOn w:val="1"/>
    <w:qFormat/>
    <w:uiPriority w:val="0"/>
    <w:pPr>
      <w:numPr>
        <w:ilvl w:val="2"/>
        <w:numId w:val="21"/>
      </w:numPr>
      <w:spacing w:line="536870612" w:lineRule="auto"/>
    </w:pPr>
    <w:rPr>
      <w:rFonts w:ascii="Times New Roman" w:hAnsi="Times New Roman"/>
    </w:rPr>
  </w:style>
  <w:style w:type="paragraph" w:customStyle="1" w:styleId="173">
    <w:name w:val="图表脚注说明"/>
    <w:basedOn w:val="1"/>
    <w:next w:val="56"/>
    <w:qFormat/>
    <w:uiPriority w:val="0"/>
    <w:pPr>
      <w:numPr>
        <w:ilvl w:val="0"/>
        <w:numId w:val="25"/>
      </w:numPr>
      <w:adjustRightInd/>
      <w:spacing w:line="240" w:lineRule="auto"/>
    </w:pPr>
    <w:rPr>
      <w:rFonts w:ascii="宋体" w:hAnsi="Times New Roman"/>
      <w:sz w:val="18"/>
      <w:szCs w:val="18"/>
    </w:rPr>
  </w:style>
  <w:style w:type="paragraph" w:customStyle="1" w:styleId="174">
    <w:name w:val="标准文件_字母编号列项（一级）"/>
    <w:qFormat/>
    <w:uiPriority w:val="0"/>
    <w:pPr>
      <w:numPr>
        <w:ilvl w:val="0"/>
        <w:numId w:val="13"/>
      </w:numPr>
      <w:jc w:val="both"/>
    </w:pPr>
    <w:rPr>
      <w:rFonts w:ascii="宋体" w:hAnsi="Times New Roman" w:eastAsia="宋体" w:cs="Times New Roman"/>
      <w:sz w:val="21"/>
      <w:lang w:val="en-US" w:eastAsia="zh-CN" w:bidi="ar-SA"/>
    </w:rPr>
  </w:style>
  <w:style w:type="paragraph" w:customStyle="1" w:styleId="175">
    <w:name w:val="标准文件_索引字母"/>
    <w:next w:val="56"/>
    <w:qFormat/>
    <w:uiPriority w:val="0"/>
    <w:pPr>
      <w:jc w:val="center"/>
    </w:pPr>
    <w:rPr>
      <w:rFonts w:ascii="宋体" w:hAnsi="宋体" w:eastAsia="Times New Roman" w:cs="Times New Roman"/>
      <w:b/>
      <w:kern w:val="2"/>
      <w:sz w:val="21"/>
      <w:lang w:val="en-US" w:eastAsia="zh-CN" w:bidi="ar-SA"/>
    </w:rPr>
  </w:style>
  <w:style w:type="paragraph" w:customStyle="1" w:styleId="176">
    <w:name w:val="标准文件_附录前"/>
    <w:next w:val="56"/>
    <w:qFormat/>
    <w:uiPriority w:val="0"/>
    <w:pPr>
      <w:spacing w:line="20" w:lineRule="atLeast"/>
      <w:ind w:firstLine="200"/>
    </w:pPr>
    <w:rPr>
      <w:rFonts w:ascii="宋体" w:hAnsi="宋体" w:eastAsia="宋体" w:cs="Times New Roman"/>
      <w:kern w:val="2"/>
      <w:sz w:val="10"/>
      <w:lang w:val="en-US" w:eastAsia="zh-CN" w:bidi="ar-SA"/>
    </w:rPr>
  </w:style>
  <w:style w:type="paragraph" w:customStyle="1" w:styleId="177">
    <w:name w:val="标准文件_正文标准名称"/>
    <w:qFormat/>
    <w:uiPriority w:val="0"/>
    <w:pPr>
      <w:spacing w:before="560" w:after="640" w:line="400" w:lineRule="exact"/>
      <w:jc w:val="center"/>
    </w:pPr>
    <w:rPr>
      <w:rFonts w:ascii="黑体" w:hAnsi="黑体" w:eastAsia="黑体" w:cs="Times New Roman"/>
      <w:kern w:val="2"/>
      <w:sz w:val="32"/>
      <w:szCs w:val="32"/>
      <w:lang w:val="en-US" w:eastAsia="zh-CN" w:bidi="ar-SA"/>
    </w:rPr>
  </w:style>
  <w:style w:type="paragraph" w:customStyle="1" w:styleId="178">
    <w:name w:val="标准文件_表格"/>
    <w:basedOn w:val="56"/>
    <w:qFormat/>
    <w:uiPriority w:val="0"/>
    <w:pPr>
      <w:ind w:firstLine="0" w:firstLineChars="0"/>
      <w:jc w:val="center"/>
    </w:pPr>
    <w:rPr>
      <w:sz w:val="18"/>
    </w:rPr>
  </w:style>
  <w:style w:type="paragraph" w:customStyle="1" w:styleId="179">
    <w:name w:val="标准文件_注："/>
    <w:next w:val="56"/>
    <w:qFormat/>
    <w:uiPriority w:val="0"/>
    <w:pPr>
      <w:widowControl w:val="0"/>
      <w:numPr>
        <w:ilvl w:val="0"/>
        <w:numId w:val="26"/>
      </w:numPr>
      <w:autoSpaceDE w:val="0"/>
      <w:autoSpaceDN w:val="0"/>
      <w:jc w:val="both"/>
    </w:pPr>
    <w:rPr>
      <w:rFonts w:ascii="宋体" w:hAnsi="Times New Roman" w:eastAsia="宋体" w:cs="Times New Roman"/>
      <w:sz w:val="18"/>
      <w:szCs w:val="18"/>
      <w:lang w:val="en-US" w:eastAsia="zh-CN" w:bidi="ar-SA"/>
    </w:rPr>
  </w:style>
  <w:style w:type="paragraph" w:customStyle="1" w:styleId="180">
    <w:name w:val="标准文件_注×："/>
    <w:qFormat/>
    <w:uiPriority w:val="0"/>
    <w:pPr>
      <w:widowControl w:val="0"/>
      <w:numPr>
        <w:ilvl w:val="0"/>
        <w:numId w:val="27"/>
      </w:numPr>
      <w:autoSpaceDE w:val="0"/>
      <w:autoSpaceDN w:val="0"/>
      <w:jc w:val="both"/>
    </w:pPr>
    <w:rPr>
      <w:rFonts w:ascii="宋体" w:hAnsi="Times New Roman" w:eastAsia="宋体" w:cs="Times New Roman"/>
      <w:sz w:val="18"/>
      <w:szCs w:val="18"/>
      <w:lang w:val="en-US" w:eastAsia="zh-CN" w:bidi="ar-SA"/>
    </w:rPr>
  </w:style>
  <w:style w:type="paragraph" w:customStyle="1" w:styleId="181">
    <w:name w:val="标准文件_示例："/>
    <w:next w:val="182"/>
    <w:qFormat/>
    <w:uiPriority w:val="0"/>
    <w:pPr>
      <w:widowControl w:val="0"/>
      <w:numPr>
        <w:ilvl w:val="0"/>
        <w:numId w:val="28"/>
      </w:numPr>
      <w:jc w:val="both"/>
    </w:pPr>
    <w:rPr>
      <w:rFonts w:ascii="宋体" w:hAnsi="Times New Roman" w:eastAsia="宋体" w:cs="Times New Roman"/>
      <w:sz w:val="18"/>
      <w:szCs w:val="18"/>
      <w:lang w:val="en-US" w:eastAsia="zh-CN" w:bidi="ar-SA"/>
    </w:rPr>
  </w:style>
  <w:style w:type="paragraph" w:customStyle="1" w:styleId="182">
    <w:name w:val="标准文件_示例内容"/>
    <w:basedOn w:val="56"/>
    <w:qFormat/>
    <w:uiPriority w:val="0"/>
    <w:pPr>
      <w:ind w:firstLine="420"/>
    </w:pPr>
    <w:rPr>
      <w:sz w:val="18"/>
    </w:rPr>
  </w:style>
  <w:style w:type="paragraph" w:customStyle="1" w:styleId="183">
    <w:name w:val="标准文件_示例×："/>
    <w:basedOn w:val="1"/>
    <w:next w:val="182"/>
    <w:qFormat/>
    <w:uiPriority w:val="0"/>
    <w:pPr>
      <w:widowControl/>
      <w:numPr>
        <w:ilvl w:val="0"/>
        <w:numId w:val="29"/>
      </w:numPr>
      <w:adjustRightInd/>
      <w:spacing w:line="240" w:lineRule="auto"/>
    </w:pPr>
    <w:rPr>
      <w:rFonts w:ascii="宋体" w:hAnsi="Times New Roman"/>
      <w:kern w:val="0"/>
      <w:sz w:val="18"/>
      <w:szCs w:val="18"/>
    </w:rPr>
  </w:style>
  <w:style w:type="character" w:customStyle="1" w:styleId="184">
    <w:name w:val="标准文件_段 Char"/>
    <w:link w:val="56"/>
    <w:qFormat/>
    <w:uiPriority w:val="0"/>
    <w:rPr>
      <w:rFonts w:ascii="宋体" w:hAnsi="Times New Roman"/>
      <w:sz w:val="21"/>
    </w:rPr>
  </w:style>
  <w:style w:type="paragraph" w:customStyle="1" w:styleId="185">
    <w:name w:val="标准文件_表格续"/>
    <w:basedOn w:val="56"/>
    <w:next w:val="56"/>
    <w:qFormat/>
    <w:uiPriority w:val="0"/>
    <w:pPr>
      <w:jc w:val="center"/>
    </w:pPr>
    <w:rPr>
      <w:rFonts w:ascii="黑体" w:hAnsi="黑体" w:eastAsia="黑体"/>
    </w:rPr>
  </w:style>
  <w:style w:type="character" w:styleId="186">
    <w:name w:val="Placeholder Text"/>
    <w:basedOn w:val="28"/>
    <w:semiHidden/>
    <w:qFormat/>
    <w:uiPriority w:val="99"/>
    <w:rPr>
      <w:color w:val="808080"/>
    </w:rPr>
  </w:style>
  <w:style w:type="paragraph" w:customStyle="1" w:styleId="187">
    <w:name w:val="标准文件_二级项2"/>
    <w:basedOn w:val="56"/>
    <w:qFormat/>
    <w:uiPriority w:val="0"/>
    <w:pPr>
      <w:numPr>
        <w:ilvl w:val="1"/>
        <w:numId w:val="21"/>
      </w:numPr>
      <w:ind w:firstLine="0" w:firstLineChars="0"/>
    </w:pPr>
  </w:style>
  <w:style w:type="paragraph" w:customStyle="1" w:styleId="188">
    <w:name w:val="标准文件_三级项2"/>
    <w:basedOn w:val="56"/>
    <w:qFormat/>
    <w:uiPriority w:val="0"/>
    <w:pPr>
      <w:numPr>
        <w:ilvl w:val="0"/>
        <w:numId w:val="30"/>
      </w:numPr>
      <w:spacing w:line="300" w:lineRule="exact"/>
      <w:ind w:firstLineChars="0"/>
    </w:pPr>
    <w:rPr>
      <w:rFonts w:ascii="Times New Roman"/>
    </w:rPr>
  </w:style>
  <w:style w:type="paragraph" w:customStyle="1" w:styleId="189">
    <w:name w:val="标准文件_一级项2"/>
    <w:basedOn w:val="56"/>
    <w:qFormat/>
    <w:uiPriority w:val="0"/>
    <w:pPr>
      <w:numPr>
        <w:ilvl w:val="0"/>
        <w:numId w:val="31"/>
      </w:numPr>
      <w:spacing w:line="300" w:lineRule="exact"/>
      <w:ind w:firstLineChars="0"/>
    </w:pPr>
    <w:rPr>
      <w:rFonts w:ascii="Times New Roman"/>
    </w:rPr>
  </w:style>
  <w:style w:type="paragraph" w:customStyle="1" w:styleId="190">
    <w:name w:val="标准文件_提示"/>
    <w:basedOn w:val="56"/>
    <w:next w:val="56"/>
    <w:qFormat/>
    <w:uiPriority w:val="0"/>
    <w:pPr>
      <w:ind w:firstLine="420"/>
    </w:pPr>
    <w:rPr>
      <w:rFonts w:ascii="黑体" w:eastAsia="黑体"/>
    </w:rPr>
  </w:style>
  <w:style w:type="character" w:customStyle="1" w:styleId="191">
    <w:name w:val="标准文件_来源"/>
    <w:basedOn w:val="28"/>
    <w:qFormat/>
    <w:uiPriority w:val="1"/>
    <w:rPr>
      <w:rFonts w:eastAsia="宋体"/>
      <w:sz w:val="21"/>
    </w:rPr>
  </w:style>
  <w:style w:type="paragraph" w:customStyle="1" w:styleId="192">
    <w:name w:val="标准文件_图表说明"/>
    <w:qFormat/>
    <w:uiPriority w:val="0"/>
    <w:pPr>
      <w:spacing w:line="276" w:lineRule="auto"/>
      <w:ind w:firstLine="420"/>
    </w:pPr>
    <w:rPr>
      <w:rFonts w:ascii="宋体" w:hAnsi="宋体" w:eastAsia="宋体" w:cs="Times New Roman"/>
      <w:kern w:val="2"/>
      <w:sz w:val="18"/>
      <w:lang w:val="en-US" w:eastAsia="zh-CN" w:bidi="ar-SA"/>
    </w:rPr>
  </w:style>
  <w:style w:type="paragraph" w:customStyle="1" w:styleId="193">
    <w:name w:val="其他发布日期"/>
    <w:basedOn w:val="120"/>
    <w:qFormat/>
    <w:uiPriority w:val="0"/>
    <w:pPr>
      <w:framePr w:w="3997" w:h="471" w:hRule="exact" w:hSpace="0" w:vSpace="181" w:vAnchor="page" w:hAnchor="page" w:x="1419" w:y="14097"/>
    </w:pPr>
  </w:style>
  <w:style w:type="paragraph" w:customStyle="1" w:styleId="194">
    <w:name w:val="其他实施日期"/>
    <w:basedOn w:val="154"/>
    <w:qFormat/>
    <w:uiPriority w:val="0"/>
    <w:pPr>
      <w:framePr w:w="3997" w:h="471" w:hRule="exact" w:vSpace="181" w:vAnchor="page" w:hAnchor="page" w:x="7089" w:y="14097"/>
    </w:pPr>
  </w:style>
  <w:style w:type="paragraph" w:customStyle="1" w:styleId="195">
    <w:name w:val="标准文件_文件编号"/>
    <w:basedOn w:val="56"/>
    <w:qFormat/>
    <w:uiPriority w:val="0"/>
    <w:pPr>
      <w:framePr w:w="9356" w:h="624" w:hRule="exact" w:hSpace="181" w:vSpace="181" w:wrap="auto" w:vAnchor="page" w:hAnchor="page" w:x="1419" w:y="3284"/>
      <w:wordWrap w:val="0"/>
      <w:spacing w:line="280" w:lineRule="exact"/>
      <w:ind w:firstLine="0" w:firstLineChars="0"/>
      <w:jc w:val="right"/>
    </w:pPr>
    <w:rPr>
      <w:rFonts w:ascii="黑体" w:eastAsia="黑体"/>
      <w:bCs/>
      <w:sz w:val="28"/>
      <w:szCs w:val="28"/>
    </w:rPr>
  </w:style>
  <w:style w:type="paragraph" w:customStyle="1" w:styleId="196">
    <w:name w:val="标准文件_替换文件编号"/>
    <w:basedOn w:val="195"/>
    <w:qFormat/>
    <w:uiPriority w:val="0"/>
    <w:pPr>
      <w:spacing w:before="57"/>
    </w:pPr>
    <w:rPr>
      <w:sz w:val="21"/>
    </w:rPr>
  </w:style>
  <w:style w:type="paragraph" w:customStyle="1" w:styleId="197">
    <w:name w:val="标准文件_文件名称"/>
    <w:basedOn w:val="56"/>
    <w:next w:val="56"/>
    <w:qFormat/>
    <w:uiPriority w:val="0"/>
    <w:pPr>
      <w:framePr w:w="9639" w:h="6976" w:hRule="exact" w:wrap="auto" w:vAnchor="page" w:hAnchor="page" w:y="6408"/>
      <w:autoSpaceDE/>
      <w:autoSpaceDN/>
      <w:spacing w:line="700" w:lineRule="exact"/>
      <w:ind w:firstLine="0" w:firstLineChars="0"/>
      <w:jc w:val="center"/>
    </w:pPr>
    <w:rPr>
      <w:rFonts w:ascii="黑体" w:hAnsi="黑体" w:eastAsia="黑体"/>
      <w:bCs/>
      <w:sz w:val="52"/>
    </w:rPr>
  </w:style>
  <w:style w:type="paragraph" w:customStyle="1" w:styleId="198">
    <w:name w:val="标准文件_附录图标号"/>
    <w:basedOn w:val="56"/>
    <w:next w:val="56"/>
    <w:qFormat/>
    <w:uiPriority w:val="0"/>
    <w:pPr>
      <w:numPr>
        <w:ilvl w:val="0"/>
        <w:numId w:val="6"/>
      </w:numPr>
      <w:spacing w:line="14" w:lineRule="exact"/>
      <w:ind w:firstLine="0" w:firstLineChars="0"/>
      <w:jc w:val="center"/>
    </w:pPr>
    <w:rPr>
      <w:rFonts w:ascii="黑体" w:hAnsi="黑体" w:eastAsia="黑体"/>
      <w:vanish/>
      <w:sz w:val="2"/>
      <w:szCs w:val="21"/>
    </w:rPr>
  </w:style>
  <w:style w:type="paragraph" w:customStyle="1" w:styleId="199">
    <w:name w:val="标准文件_附录表标号"/>
    <w:basedOn w:val="56"/>
    <w:next w:val="56"/>
    <w:qFormat/>
    <w:uiPriority w:val="0"/>
    <w:pPr>
      <w:numPr>
        <w:ilvl w:val="0"/>
        <w:numId w:val="5"/>
      </w:numPr>
      <w:spacing w:line="14" w:lineRule="exact"/>
      <w:ind w:firstLine="0" w:firstLineChars="0"/>
      <w:jc w:val="center"/>
    </w:pPr>
    <w:rPr>
      <w:rFonts w:eastAsia="黑体"/>
      <w:vanish/>
      <w:sz w:val="2"/>
    </w:rPr>
  </w:style>
  <w:style w:type="paragraph" w:customStyle="1" w:styleId="200">
    <w:name w:val="标准文件_引言一级条标题"/>
    <w:basedOn w:val="56"/>
    <w:next w:val="56"/>
    <w:qFormat/>
    <w:uiPriority w:val="0"/>
    <w:pPr>
      <w:numPr>
        <w:ilvl w:val="1"/>
        <w:numId w:val="8"/>
      </w:numPr>
      <w:spacing w:before="50" w:beforeLines="50" w:after="50" w:afterLines="50"/>
      <w:ind w:firstLineChars="0"/>
    </w:pPr>
    <w:rPr>
      <w:rFonts w:ascii="黑体" w:eastAsia="黑体"/>
    </w:rPr>
  </w:style>
  <w:style w:type="paragraph" w:customStyle="1" w:styleId="201">
    <w:name w:val="标准文件_引言二级条标题"/>
    <w:basedOn w:val="56"/>
    <w:next w:val="56"/>
    <w:qFormat/>
    <w:uiPriority w:val="0"/>
    <w:pPr>
      <w:numPr>
        <w:ilvl w:val="2"/>
        <w:numId w:val="8"/>
      </w:numPr>
      <w:spacing w:before="50" w:beforeLines="50" w:after="50" w:afterLines="50"/>
      <w:ind w:firstLineChars="0"/>
    </w:pPr>
    <w:rPr>
      <w:rFonts w:ascii="黑体" w:eastAsia="黑体"/>
    </w:rPr>
  </w:style>
  <w:style w:type="paragraph" w:customStyle="1" w:styleId="202">
    <w:name w:val="标准文件_引言三级条标题"/>
    <w:basedOn w:val="56"/>
    <w:next w:val="56"/>
    <w:qFormat/>
    <w:uiPriority w:val="0"/>
    <w:pPr>
      <w:numPr>
        <w:ilvl w:val="3"/>
        <w:numId w:val="8"/>
      </w:numPr>
      <w:spacing w:before="50" w:beforeLines="50" w:after="50" w:afterLines="50"/>
      <w:ind w:firstLineChars="0"/>
    </w:pPr>
    <w:rPr>
      <w:rFonts w:ascii="黑体" w:eastAsia="黑体"/>
    </w:rPr>
  </w:style>
  <w:style w:type="paragraph" w:customStyle="1" w:styleId="203">
    <w:name w:val="标准文件_引言四级条标题"/>
    <w:basedOn w:val="56"/>
    <w:next w:val="56"/>
    <w:qFormat/>
    <w:uiPriority w:val="0"/>
    <w:pPr>
      <w:numPr>
        <w:ilvl w:val="4"/>
        <w:numId w:val="8"/>
      </w:numPr>
      <w:spacing w:before="50" w:beforeLines="50" w:after="50" w:afterLines="50"/>
      <w:ind w:firstLineChars="0"/>
    </w:pPr>
    <w:rPr>
      <w:rFonts w:ascii="黑体" w:eastAsia="黑体"/>
    </w:rPr>
  </w:style>
  <w:style w:type="paragraph" w:customStyle="1" w:styleId="204">
    <w:name w:val="标准文件_引言五级条标题"/>
    <w:basedOn w:val="56"/>
    <w:next w:val="56"/>
    <w:qFormat/>
    <w:uiPriority w:val="0"/>
    <w:pPr>
      <w:numPr>
        <w:ilvl w:val="5"/>
        <w:numId w:val="8"/>
      </w:numPr>
      <w:spacing w:before="50" w:beforeLines="50" w:after="50" w:afterLines="50"/>
      <w:ind w:firstLineChars="0"/>
    </w:pPr>
    <w:rPr>
      <w:rFonts w:ascii="黑体" w:eastAsia="黑体"/>
    </w:rPr>
  </w:style>
  <w:style w:type="paragraph" w:customStyle="1" w:styleId="205">
    <w:name w:val="标准文件_注后"/>
    <w:basedOn w:val="56"/>
    <w:qFormat/>
    <w:uiPriority w:val="0"/>
    <w:pPr>
      <w:ind w:left="811" w:firstLine="0" w:firstLineChars="0"/>
    </w:pPr>
    <w:rPr>
      <w:sz w:val="18"/>
    </w:rPr>
  </w:style>
  <w:style w:type="paragraph" w:customStyle="1" w:styleId="206">
    <w:name w:val="标准文件_注X后"/>
    <w:basedOn w:val="56"/>
    <w:qFormat/>
    <w:uiPriority w:val="0"/>
    <w:pPr>
      <w:ind w:left="811" w:firstLine="0" w:firstLineChars="0"/>
    </w:pPr>
    <w:rPr>
      <w:sz w:val="18"/>
    </w:rPr>
  </w:style>
  <w:style w:type="paragraph" w:customStyle="1" w:styleId="207">
    <w:name w:val="标准文件_示例后"/>
    <w:basedOn w:val="56"/>
    <w:qFormat/>
    <w:uiPriority w:val="0"/>
    <w:pPr>
      <w:ind w:left="964" w:firstLine="0" w:firstLineChars="0"/>
    </w:pPr>
    <w:rPr>
      <w:sz w:val="18"/>
    </w:rPr>
  </w:style>
  <w:style w:type="paragraph" w:customStyle="1" w:styleId="208">
    <w:name w:val="标准文件_示例X后"/>
    <w:basedOn w:val="56"/>
    <w:link w:val="209"/>
    <w:qFormat/>
    <w:uiPriority w:val="0"/>
    <w:pPr>
      <w:ind w:left="1049" w:firstLine="0" w:firstLineChars="0"/>
    </w:pPr>
    <w:rPr>
      <w:sz w:val="18"/>
    </w:rPr>
  </w:style>
  <w:style w:type="character" w:customStyle="1" w:styleId="209">
    <w:name w:val="标准文件_示例X后 字符"/>
    <w:basedOn w:val="184"/>
    <w:link w:val="208"/>
    <w:qFormat/>
    <w:uiPriority w:val="0"/>
    <w:rPr>
      <w:rFonts w:ascii="宋体" w:hAnsi="Times New Roman"/>
      <w:sz w:val="18"/>
    </w:rPr>
  </w:style>
  <w:style w:type="paragraph" w:customStyle="1" w:styleId="210">
    <w:name w:val="标准文件_索引项"/>
    <w:basedOn w:val="56"/>
    <w:next w:val="56"/>
    <w:qFormat/>
    <w:uiPriority w:val="0"/>
    <w:pPr>
      <w:tabs>
        <w:tab w:val="right" w:leader="dot" w:pos="9356"/>
      </w:tabs>
      <w:ind w:left="210" w:hanging="210" w:firstLineChars="0"/>
      <w:jc w:val="left"/>
    </w:pPr>
  </w:style>
  <w:style w:type="paragraph" w:customStyle="1" w:styleId="211">
    <w:name w:val="标准文件_附录一级无标题"/>
    <w:basedOn w:val="78"/>
    <w:qFormat/>
    <w:uiPriority w:val="0"/>
    <w:pPr>
      <w:spacing w:before="0" w:beforeLines="0" w:after="0" w:afterLines="0" w:line="276" w:lineRule="auto"/>
      <w:outlineLvl w:val="9"/>
    </w:pPr>
    <w:rPr>
      <w:rFonts w:ascii="宋体" w:eastAsia="宋体"/>
    </w:rPr>
  </w:style>
  <w:style w:type="paragraph" w:customStyle="1" w:styleId="212">
    <w:name w:val="标准文件_附录二级无标题"/>
    <w:basedOn w:val="79"/>
    <w:qFormat/>
    <w:uiPriority w:val="0"/>
    <w:pPr>
      <w:spacing w:before="0" w:beforeLines="0" w:after="0" w:afterLines="0" w:line="276" w:lineRule="auto"/>
      <w:outlineLvl w:val="9"/>
    </w:pPr>
    <w:rPr>
      <w:rFonts w:ascii="宋体" w:eastAsia="宋体"/>
    </w:rPr>
  </w:style>
  <w:style w:type="paragraph" w:customStyle="1" w:styleId="213">
    <w:name w:val="标准文件_附录三级无标题"/>
    <w:basedOn w:val="81"/>
    <w:qFormat/>
    <w:uiPriority w:val="0"/>
    <w:pPr>
      <w:spacing w:before="0" w:beforeLines="0" w:after="0" w:afterLines="0" w:line="276" w:lineRule="auto"/>
      <w:outlineLvl w:val="9"/>
    </w:pPr>
    <w:rPr>
      <w:rFonts w:ascii="宋体" w:eastAsia="宋体"/>
    </w:rPr>
  </w:style>
  <w:style w:type="paragraph" w:customStyle="1" w:styleId="214">
    <w:name w:val="标准文件_附录四级无标题"/>
    <w:basedOn w:val="82"/>
    <w:qFormat/>
    <w:uiPriority w:val="0"/>
    <w:pPr>
      <w:spacing w:before="0" w:beforeLines="0" w:after="0" w:afterLines="0" w:line="276" w:lineRule="auto"/>
      <w:outlineLvl w:val="9"/>
    </w:pPr>
    <w:rPr>
      <w:rFonts w:ascii="宋体" w:eastAsia="宋体"/>
    </w:rPr>
  </w:style>
  <w:style w:type="paragraph" w:customStyle="1" w:styleId="215">
    <w:name w:val="标准文件_附录五级无标题"/>
    <w:basedOn w:val="84"/>
    <w:qFormat/>
    <w:uiPriority w:val="0"/>
    <w:pPr>
      <w:spacing w:before="0" w:beforeLines="0" w:after="0" w:afterLines="0" w:line="276" w:lineRule="auto"/>
      <w:outlineLvl w:val="9"/>
    </w:pPr>
    <w:rPr>
      <w:rFonts w:ascii="宋体" w:eastAsia="宋体"/>
    </w:rPr>
  </w:style>
  <w:style w:type="paragraph" w:customStyle="1" w:styleId="216">
    <w:name w:val="标准文件_引言一级无标题"/>
    <w:basedOn w:val="200"/>
    <w:next w:val="56"/>
    <w:qFormat/>
    <w:uiPriority w:val="0"/>
    <w:pPr>
      <w:spacing w:before="0" w:beforeLines="0" w:after="0" w:afterLines="0" w:line="276" w:lineRule="auto"/>
    </w:pPr>
    <w:rPr>
      <w:rFonts w:ascii="宋体" w:eastAsia="宋体"/>
    </w:rPr>
  </w:style>
  <w:style w:type="paragraph" w:customStyle="1" w:styleId="217">
    <w:name w:val="标准文件_引言二级无标题"/>
    <w:basedOn w:val="201"/>
    <w:next w:val="56"/>
    <w:qFormat/>
    <w:uiPriority w:val="0"/>
    <w:pPr>
      <w:spacing w:before="0" w:beforeLines="0" w:after="0" w:afterLines="0" w:line="276" w:lineRule="auto"/>
    </w:pPr>
    <w:rPr>
      <w:rFonts w:ascii="宋体" w:eastAsia="宋体"/>
    </w:rPr>
  </w:style>
  <w:style w:type="paragraph" w:customStyle="1" w:styleId="218">
    <w:name w:val="标准文件_引言三级无标题"/>
    <w:basedOn w:val="202"/>
    <w:qFormat/>
    <w:uiPriority w:val="0"/>
    <w:pPr>
      <w:spacing w:before="0" w:beforeLines="0" w:after="0" w:afterLines="0" w:line="276" w:lineRule="auto"/>
    </w:pPr>
    <w:rPr>
      <w:rFonts w:ascii="宋体" w:eastAsia="宋体"/>
    </w:rPr>
  </w:style>
  <w:style w:type="paragraph" w:customStyle="1" w:styleId="219">
    <w:name w:val="标准文件_引言四级无标题"/>
    <w:basedOn w:val="203"/>
    <w:next w:val="56"/>
    <w:qFormat/>
    <w:uiPriority w:val="0"/>
    <w:pPr>
      <w:spacing w:before="0" w:beforeLines="0" w:after="0" w:afterLines="0" w:line="276" w:lineRule="auto"/>
    </w:pPr>
    <w:rPr>
      <w:rFonts w:ascii="宋体" w:eastAsia="宋体"/>
    </w:rPr>
  </w:style>
  <w:style w:type="paragraph" w:customStyle="1" w:styleId="220">
    <w:name w:val="标准文件_引言五级无标题"/>
    <w:basedOn w:val="204"/>
    <w:next w:val="56"/>
    <w:qFormat/>
    <w:uiPriority w:val="0"/>
    <w:pPr>
      <w:spacing w:before="0" w:beforeLines="0" w:after="0" w:afterLines="0" w:line="276" w:lineRule="auto"/>
    </w:pPr>
    <w:rPr>
      <w:rFonts w:ascii="宋体" w:eastAsia="宋体"/>
    </w:rPr>
  </w:style>
  <w:style w:type="paragraph" w:customStyle="1" w:styleId="221">
    <w:name w:val="标准文件_索引标题"/>
    <w:basedOn w:val="63"/>
    <w:next w:val="56"/>
    <w:qFormat/>
    <w:uiPriority w:val="0"/>
    <w:rPr>
      <w:rFonts w:hAnsi="黑体"/>
    </w:rPr>
  </w:style>
  <w:style w:type="paragraph" w:customStyle="1" w:styleId="222">
    <w:name w:val="标准文件_脚注内容"/>
    <w:basedOn w:val="56"/>
    <w:qFormat/>
    <w:uiPriority w:val="0"/>
    <w:pPr>
      <w:ind w:left="400" w:leftChars="200" w:hanging="200" w:hangingChars="200"/>
    </w:pPr>
    <w:rPr>
      <w:sz w:val="15"/>
    </w:rPr>
  </w:style>
  <w:style w:type="paragraph" w:customStyle="1" w:styleId="223">
    <w:name w:val="标准文件_术语条一"/>
    <w:basedOn w:val="162"/>
    <w:next w:val="56"/>
    <w:qFormat/>
    <w:uiPriority w:val="0"/>
  </w:style>
  <w:style w:type="paragraph" w:customStyle="1" w:styleId="224">
    <w:name w:val="标准文件_术语条二"/>
    <w:basedOn w:val="165"/>
    <w:next w:val="56"/>
    <w:qFormat/>
    <w:uiPriority w:val="0"/>
  </w:style>
  <w:style w:type="paragraph" w:customStyle="1" w:styleId="225">
    <w:name w:val="标准文件_术语条三"/>
    <w:basedOn w:val="164"/>
    <w:next w:val="56"/>
    <w:qFormat/>
    <w:uiPriority w:val="0"/>
  </w:style>
  <w:style w:type="paragraph" w:customStyle="1" w:styleId="226">
    <w:name w:val="标准文件_术语条四"/>
    <w:basedOn w:val="167"/>
    <w:next w:val="56"/>
    <w:qFormat/>
    <w:uiPriority w:val="0"/>
  </w:style>
  <w:style w:type="paragraph" w:customStyle="1" w:styleId="227">
    <w:name w:val="标准文件_术语条五"/>
    <w:basedOn w:val="163"/>
    <w:next w:val="56"/>
    <w:qFormat/>
    <w:uiPriority w:val="0"/>
  </w:style>
  <w:style w:type="paragraph" w:customStyle="1" w:styleId="228">
    <w:name w:val="Default"/>
    <w:qFormat/>
    <w:uiPriority w:val="0"/>
    <w:pPr>
      <w:widowControl w:val="0"/>
      <w:autoSpaceDE w:val="0"/>
      <w:autoSpaceDN w:val="0"/>
      <w:adjustRightInd w:val="0"/>
    </w:pPr>
    <w:rPr>
      <w:rFonts w:ascii="宋体" w:hAnsi="Calibri" w:eastAsia="宋体" w:cs="宋体"/>
      <w:color w:val="000000"/>
      <w:sz w:val="24"/>
      <w:szCs w:val="24"/>
      <w:lang w:val="en-US" w:eastAsia="zh-CN" w:bidi="ar-SA"/>
    </w:rPr>
  </w:style>
  <w:style w:type="character" w:customStyle="1" w:styleId="229">
    <w:name w:val="发布"/>
    <w:basedOn w:val="28"/>
    <w:qFormat/>
    <w:uiPriority w:val="0"/>
    <w:rPr>
      <w:rFonts w:ascii="黑体" w:eastAsia="黑体"/>
      <w:spacing w:val="85"/>
      <w:w w:val="100"/>
      <w:position w:val="3"/>
      <w:sz w:val="28"/>
      <w:szCs w:val="28"/>
    </w:rPr>
  </w:style>
</w:styles>
</file>

<file path=word/_rels/document.xml.rels><?xml version="1.0" encoding="UTF-8" standalone="yes"?>
<Relationships xmlns="http://schemas.openxmlformats.org/package/2006/relationships"><Relationship Id="rId9" Type="http://schemas.openxmlformats.org/officeDocument/2006/relationships/footer" Target="footer2.xml"/><Relationship Id="rId8" Type="http://schemas.openxmlformats.org/officeDocument/2006/relationships/footer" Target="footer1.xml"/><Relationship Id="rId7" Type="http://schemas.openxmlformats.org/officeDocument/2006/relationships/header" Target="header3.xml"/><Relationship Id="rId6" Type="http://schemas.openxmlformats.org/officeDocument/2006/relationships/header" Target="header2.xml"/><Relationship Id="rId5" Type="http://schemas.openxmlformats.org/officeDocument/2006/relationships/header" Target="header1.xml"/><Relationship Id="rId4" Type="http://schemas.openxmlformats.org/officeDocument/2006/relationships/endnotes" Target="endnotes.xml"/><Relationship Id="rId3" Type="http://schemas.openxmlformats.org/officeDocument/2006/relationships/footnotes" Target="footnotes.xml"/><Relationship Id="rId2" Type="http://schemas.openxmlformats.org/officeDocument/2006/relationships/settings" Target="settings.xml"/><Relationship Id="rId18" Type="http://schemas.openxmlformats.org/officeDocument/2006/relationships/glossaryDocument" Target="glossary/document.xml"/><Relationship Id="rId17" Type="http://schemas.openxmlformats.org/officeDocument/2006/relationships/fontTable" Target="fontTable.xml"/><Relationship Id="rId16" Type="http://schemas.openxmlformats.org/officeDocument/2006/relationships/numbering" Target="numbering.xml"/><Relationship Id="rId15" Type="http://schemas.openxmlformats.org/officeDocument/2006/relationships/customXml" Target="../customXml/item1.xml"/><Relationship Id="rId14" Type="http://schemas.openxmlformats.org/officeDocument/2006/relationships/theme" Target="theme/theme1.xml"/><Relationship Id="rId13" Type="http://schemas.openxmlformats.org/officeDocument/2006/relationships/footer" Target="footer4.xml"/><Relationship Id="rId12" Type="http://schemas.openxmlformats.org/officeDocument/2006/relationships/header" Target="header5.xml"/><Relationship Id="rId11" Type="http://schemas.openxmlformats.org/officeDocument/2006/relationships/header" Target="header4.xml"/><Relationship Id="rId10" Type="http://schemas.openxmlformats.org/officeDocument/2006/relationships/footer" Target="footer3.xml"/><Relationship Id="rId1" Type="http://schemas.openxmlformats.org/officeDocument/2006/relationships/styles" Target="styles.xml"/></Relationships>
</file>

<file path=word/_rels/settings.xml.rels><?xml version="1.0" encoding="UTF-8" standalone="yes"?>
<Relationships xmlns="http://schemas.openxmlformats.org/package/2006/relationships"><Relationship Id="rId1" Type="http://schemas.openxmlformats.org/officeDocument/2006/relationships/attachedTemplate" Target="/Users/buddyshui/Library/Containers/com.kingsoft.wpsoffice.mac/Data/C:\Program%20Files%20(x86)\StandardEditor\template\&#34892;&#19994;&#26631;&#20934;.dotx" TargetMode="External"/></Relationships>
</file>

<file path=word/glossary/_rels/document.xml.rels><?xml version="1.0" encoding="UTF-8" standalone="yes"?>
<Relationships xmlns="http://schemas.openxmlformats.org/package/2006/relationships"><Relationship Id="rId3" Type="http://schemas.openxmlformats.org/officeDocument/2006/relationships/fontTable" Target="fontTable.xml"/><Relationship Id="rId2" Type="http://schemas.openxmlformats.org/officeDocument/2006/relationships/settings" Target="settings.xml"/><Relationship Id="rId1" Type="http://schemas.openxmlformats.org/officeDocument/2006/relationships/styles" Target="styles.xml"/></Relationships>
</file>

<file path=word/glossary/document.xml><?xml version="1.0" encoding="utf-8"?>
<w:glossary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docParts>
    <w:docPart>
      <w:docPartPr>
        <w:name w:val="20A7049C52FD444E8D12D32C7D34EBB0"/>
        <w:style w:val=""/>
        <w:category>
          <w:name w:val="常规"/>
          <w:gallery w:val="placeholder"/>
        </w:category>
        <w:types>
          <w:type w:val="bbPlcHdr"/>
        </w:types>
        <w:behaviors>
          <w:behavior w:val="content"/>
        </w:behaviors>
        <w:description w:val=""/>
        <w:guid w:val="{58443129-AC2A-46E2-A502-C44867D53090}"/>
      </w:docPartPr>
      <w:docPartBody>
        <w:p>
          <w:pPr>
            <w:pStyle w:val="5"/>
          </w:pPr>
          <w:r>
            <w:rPr>
              <w:rStyle w:val="4"/>
              <w:rFonts w:hint="eastAsia"/>
            </w:rPr>
            <w:t>单击或点击此处输入文字。</w:t>
          </w:r>
        </w:p>
      </w:docPartBody>
    </w:docPart>
    <w:docPart>
      <w:docPartPr>
        <w:name w:val="F1579640566044BCAD87B061B868BBD9"/>
        <w:style w:val=""/>
        <w:category>
          <w:name w:val="常规"/>
          <w:gallery w:val="placeholder"/>
        </w:category>
        <w:types>
          <w:type w:val="bbPlcHdr"/>
        </w:types>
        <w:behaviors>
          <w:behavior w:val="content"/>
        </w:behaviors>
        <w:description w:val=""/>
        <w:guid w:val="{52F73F15-951D-4B16-A2DE-A34594150BF2}"/>
      </w:docPartPr>
      <w:docPartBody>
        <w:p>
          <w:pPr>
            <w:pStyle w:val="6"/>
          </w:pPr>
          <w:r>
            <w:rPr>
              <w:rStyle w:val="4"/>
              <w:rFonts w:hint="eastAsia"/>
            </w:rPr>
            <w:t>选择一项。</w:t>
          </w:r>
        </w:p>
      </w:docPartBody>
    </w:docPart>
    <w:docPart>
      <w:docPartPr>
        <w:name w:val="234482D485BC40978A186E11A77FAC77"/>
        <w:style w:val=""/>
        <w:category>
          <w:name w:val="常规"/>
          <w:gallery w:val="placeholder"/>
        </w:category>
        <w:types>
          <w:type w:val="bbPlcHdr"/>
        </w:types>
        <w:behaviors>
          <w:behavior w:val="content"/>
        </w:behaviors>
        <w:description w:val=""/>
        <w:guid w:val="{AA2A9256-D428-4D6B-83BD-69220C06B0BB}"/>
      </w:docPartPr>
      <w:docPartBody>
        <w:p>
          <w:pPr>
            <w:pStyle w:val="7"/>
          </w:pPr>
          <w:r>
            <w:rPr>
              <w:rStyle w:val="4"/>
              <w:rFonts w:hint="eastAsia"/>
            </w:rPr>
            <w:t>选择一项。</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1"/>
    <w:family w:val="auto"/>
    <w:pitch w:val="default"/>
    <w:sig w:usb0="E0002EFF" w:usb1="C000785B" w:usb2="00000009" w:usb3="00000000" w:csb0="400001FF" w:csb1="FFFF0000"/>
  </w:font>
  <w:font w:name="宋体">
    <w:altName w:val="方正书宋_GBK"/>
    <w:panose1 w:val="00000000000000000000"/>
    <w:charset w:val="86"/>
    <w:family w:val="auto"/>
    <w:pitch w:val="default"/>
    <w:sig w:usb0="00000000" w:usb1="00000000" w:usb2="00000000" w:usb3="00000000" w:csb0="00000000" w:csb1="00000000"/>
  </w:font>
  <w:font w:name="Wingdings">
    <w:panose1 w:val="05000000000000000000"/>
    <w:charset w:val="02"/>
    <w:family w:val="auto"/>
    <w:pitch w:val="default"/>
    <w:sig w:usb0="00000000" w:usb1="00000000" w:usb2="00000000" w:usb3="00000000" w:csb0="80000000" w:csb1="00000000"/>
  </w:font>
  <w:font w:name="Arial">
    <w:altName w:val="Times New Roman"/>
    <w:panose1 w:val="020B0604020202020204"/>
    <w:charset w:val="01"/>
    <w:family w:val="swiss"/>
    <w:pitch w:val="default"/>
    <w:sig w:usb0="E0002AFF" w:usb1="C0007843"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altName w:val="DejaVu Sans"/>
    <w:panose1 w:val="02070309020205020404"/>
    <w:charset w:val="01"/>
    <w:family w:val="modern"/>
    <w:pitch w:val="default"/>
    <w:sig w:usb0="E0002A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altName w:val="DejaVu Sans"/>
    <w:panose1 w:val="020F0502020204030204"/>
    <w:charset w:val="00"/>
    <w:family w:val="swiss"/>
    <w:pitch w:val="default"/>
    <w:sig w:usb0="00000000" w:usb1="00000000" w:usb2="00000001" w:usb3="00000000" w:csb0="0000019F" w:csb1="00000000"/>
  </w:font>
  <w:font w:name="等线">
    <w:altName w:val="汉仪中宋简"/>
    <w:panose1 w:val="02010600030101010101"/>
    <w:charset w:val="86"/>
    <w:family w:val="auto"/>
    <w:pitch w:val="default"/>
    <w:sig w:usb0="00000000" w:usb1="00000000" w:usb2="00000016" w:usb3="00000000" w:csb0="0004000F" w:csb1="00000000"/>
  </w:font>
  <w:font w:name="等线">
    <w:altName w:val="阿里巴巴普惠体"/>
    <w:panose1 w:val="00000000000000000000"/>
    <w:charset w:val="86"/>
    <w:family w:val="auto"/>
    <w:pitch w:val="default"/>
    <w:sig w:usb0="00000000" w:usb1="00000000" w:usb2="00000000" w:usb3="00000000" w:csb0="00000000" w:csb1="00000000"/>
  </w:font>
  <w:font w:name="等线">
    <w:altName w:val="阿里巴巴普惠体"/>
    <w:panose1 w:val="00000000000000000000"/>
    <w:charset w:val="00"/>
    <w:family w:val="auto"/>
    <w:pitch w:val="default"/>
    <w:sig w:usb0="00000000" w:usb1="00000000" w:usb2="00000000" w:usb3="00000000" w:csb0="00000000"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bordersDoNotSurroundHeader w:val="true"/>
  <w:bordersDoNotSurroundFooter w:val="true"/>
  <w:defaultTabStop w:val="420"/>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923F13"/>
    <w:rsid w:val="005317D6"/>
    <w:rsid w:val="00714C86"/>
    <w:rsid w:val="00923F13"/>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ettings>
</file>

<file path=word/glossary/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heme="minorHAnsi" w:hAnsiTheme="minorHAnsi" w:eastAsiaTheme="minorEastAsia" w:cstheme="minorBidi"/>
      </w:rPr>
    </w:rPrDefault>
  </w:docDefaults>
  <w:latentStyles w:count="260" w:defQFormat="0" w:defUnhideWhenUsed="1" w:defSemiHidden="1" w:defUIPriority="99" w:defLockedState="0">
    <w:lsdException w:qFormat="1" w:unhideWhenUsed="0" w:uiPriority="0" w:semiHidden="0" w:name="Normal"/>
    <w:lsdException w:qFormat="1" w:uiPriority="1" w:name="Default Paragraph Font"/>
    <w:lsdException w:qFormat="1" w:uiPriority="99" w:name="Normal Table"/>
    <w:lsdException w:qFormat="1" w:unhideWhenUsed="0" w:uiPriority="99" w:name="Placeholder Text"/>
  </w:latentStyles>
  <w:style w:type="paragraph" w:default="1" w:styleId="1">
    <w:name w:val="Normal"/>
    <w:qFormat/>
    <w:uiPriority w:val="0"/>
    <w:pPr>
      <w:widowControl w:val="0"/>
      <w:jc w:val="both"/>
    </w:pPr>
    <w:rPr>
      <w:rFonts w:asciiTheme="minorHAnsi" w:hAnsiTheme="minorHAnsi" w:eastAsiaTheme="minorEastAsia" w:cstheme="minorBidi"/>
      <w:kern w:val="2"/>
      <w:sz w:val="21"/>
      <w:szCs w:val="22"/>
      <w:lang w:val="en-US" w:eastAsia="zh-CN" w:bidi="ar-SA"/>
      <w14:ligatures w14:val="standardContextual"/>
    </w:rPr>
  </w:style>
  <w:style w:type="character" w:default="1" w:styleId="2">
    <w:name w:val="Default Paragraph Font"/>
    <w:semiHidden/>
    <w:unhideWhenUsed/>
    <w:qFormat/>
    <w:uiPriority w:val="1"/>
  </w:style>
  <w:style w:type="table" w:default="1" w:styleId="3">
    <w:name w:val="Normal Table"/>
    <w:semiHidden/>
    <w:unhideWhenUsed/>
    <w:qFormat/>
    <w:uiPriority w:val="99"/>
    <w:tblPr>
      <w:tblCellMar>
        <w:top w:w="0" w:type="dxa"/>
        <w:left w:w="108" w:type="dxa"/>
        <w:bottom w:w="0" w:type="dxa"/>
        <w:right w:w="108" w:type="dxa"/>
      </w:tblCellMar>
    </w:tblPr>
  </w:style>
  <w:style w:type="character" w:styleId="4">
    <w:name w:val="Placeholder Text"/>
    <w:basedOn w:val="2"/>
    <w:semiHidden/>
    <w:qFormat/>
    <w:uiPriority w:val="99"/>
    <w:rPr>
      <w:color w:val="808080"/>
    </w:rPr>
  </w:style>
  <w:style w:type="paragraph" w:customStyle="1" w:styleId="5">
    <w:name w:val="20A7049C52FD444E8D12D32C7D34EBB0"/>
    <w:qFormat/>
    <w:uiPriority w:val="0"/>
    <w:pPr>
      <w:widowControl w:val="0"/>
      <w:jc w:val="both"/>
    </w:pPr>
    <w:rPr>
      <w:rFonts w:asciiTheme="minorHAnsi" w:hAnsiTheme="minorHAnsi" w:eastAsiaTheme="minorEastAsia" w:cstheme="minorBidi"/>
      <w:kern w:val="2"/>
      <w:sz w:val="21"/>
      <w:szCs w:val="22"/>
      <w:lang w:val="en-US" w:eastAsia="zh-CN" w:bidi="ar-SA"/>
      <w14:ligatures w14:val="standardContextual"/>
    </w:rPr>
  </w:style>
  <w:style w:type="paragraph" w:customStyle="1" w:styleId="6">
    <w:name w:val="F1579640566044BCAD87B061B868BBD9"/>
    <w:qFormat/>
    <w:uiPriority w:val="0"/>
    <w:pPr>
      <w:widowControl w:val="0"/>
      <w:jc w:val="both"/>
    </w:pPr>
    <w:rPr>
      <w:rFonts w:asciiTheme="minorHAnsi" w:hAnsiTheme="minorHAnsi" w:eastAsiaTheme="minorEastAsia" w:cstheme="minorBidi"/>
      <w:kern w:val="2"/>
      <w:sz w:val="21"/>
      <w:szCs w:val="22"/>
      <w:lang w:val="en-US" w:eastAsia="zh-CN" w:bidi="ar-SA"/>
      <w14:ligatures w14:val="standardContextual"/>
    </w:rPr>
  </w:style>
  <w:style w:type="paragraph" w:customStyle="1" w:styleId="7">
    <w:name w:val="234482D485BC40978A186E11A77FAC77"/>
    <w:qFormat/>
    <w:uiPriority w:val="0"/>
    <w:pPr>
      <w:widowControl w:val="0"/>
      <w:jc w:val="both"/>
    </w:pPr>
    <w:rPr>
      <w:rFonts w:asciiTheme="minorHAnsi" w:hAnsiTheme="minorHAnsi" w:eastAsiaTheme="minorEastAsia" w:cstheme="minorBidi"/>
      <w:kern w:val="2"/>
      <w:sz w:val="21"/>
      <w:szCs w:val="22"/>
      <w:lang w:val="en-US" w:eastAsia="zh-CN" w:bidi="ar-SA"/>
      <w14:ligatures w14:val="standardContextual"/>
    </w:rPr>
  </w:style>
</w:style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等线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等线"/>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true">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false"/>
        </a:gradFill>
        <a:gradFill rotWithShape="true">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false"/>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true">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false"/>
        </a:gradFill>
      </a:bgFillStyleLst>
    </a:fmtScheme>
  </a:themeElements>
  <a:objectDefaults>
    <a:lnDef>
      <a:spPr bwMode="auto">
        <a:noFill/>
        <a:ln w="9525">
          <a:solidFill>
            <a:srgbClr val="000000"/>
          </a:solidFill>
          <a:round/>
        </a:ln>
      </a:spPr>
      <a:bodyPr/>
      <a:lstStyle/>
    </a:lnDef>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行业标准</Template>
  <Company>PCMI</Company>
  <Pages>10</Pages>
  <Words>2332</Words>
  <Characters>2869</Characters>
  <Lines>409</Lines>
  <Paragraphs>400</Paragraphs>
  <TotalTime>0</TotalTime>
  <ScaleCrop>false</ScaleCrop>
  <LinksUpToDate>false</LinksUpToDate>
  <CharactersWithSpaces>4801</CharactersWithSpaces>
  <Application>WPS Office_11.8.2.10552_F1E327BC-269C-435d-A152-05C5408002CA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2024-07-20T02:35:00Z</dcterms:created>
  <dc:creator>wang walter</dc:creator>
  <dc:description>&lt;config cover="true" show_menu="true" version="1.0.0" doctype="SDKXY"&gt;_x000d_
&lt;/config&gt;</dc:description>
  <cp:lastModifiedBy>oa</cp:lastModifiedBy>
  <cp:lastPrinted>2021-02-05T08:18:00Z</cp:lastPrinted>
  <dcterms:modified xsi:type="dcterms:W3CDTF">2025-12-09T10:38:50Z</dcterms:modified>
  <dc:title>行业标准</dc:title>
  <cp:revision>6</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doctype">
    <vt:lpwstr>SDKXY</vt:lpwstr>
  </property>
  <property fmtid="{D5CDD505-2E9C-101B-9397-08002B2CF9AE}" pid="3" name="cover">
    <vt:lpwstr>true</vt:lpwstr>
  </property>
  <property fmtid="{D5CDD505-2E9C-101B-9397-08002B2CF9AE}" pid="4" name="show_menu">
    <vt:lpwstr>true</vt:lpwstr>
  </property>
  <property fmtid="{D5CDD505-2E9C-101B-9397-08002B2CF9AE}" pid="5" name="version">
    <vt:lpwstr>1.0.0</vt:lpwstr>
  </property>
  <property fmtid="{D5CDD505-2E9C-101B-9397-08002B2CF9AE}" pid="6" name="xmlname">
    <vt:lpwstr>行业标准</vt:lpwstr>
  </property>
  <property fmtid="{D5CDD505-2E9C-101B-9397-08002B2CF9AE}" pid="7" name="NSTD_CODE">
    <vt:lpwstr>GB/T-</vt:lpwstr>
  </property>
  <property fmtid="{D5CDD505-2E9C-101B-9397-08002B2CF9AE}" pid="8" name="OSTD_CODE">
    <vt:lpwstr>代替 GB/T-</vt:lpwstr>
  </property>
  <property fmtid="{D5CDD505-2E9C-101B-9397-08002B2CF9AE}" pid="9" name="flag_zhengwen">
    <vt:lpwstr>0</vt:lpwstr>
  </property>
  <property fmtid="{D5CDD505-2E9C-101B-9397-08002B2CF9AE}" pid="10" name="flag_fulu">
    <vt:lpwstr>0</vt:lpwstr>
  </property>
  <property fmtid="{D5CDD505-2E9C-101B-9397-08002B2CF9AE}" pid="11" name="flag_pic">
    <vt:lpwstr>false</vt:lpwstr>
  </property>
  <property fmtid="{D5CDD505-2E9C-101B-9397-08002B2CF9AE}" pid="12" name="flag_tab">
    <vt:lpwstr>false</vt:lpwstr>
  </property>
  <property fmtid="{D5CDD505-2E9C-101B-9397-08002B2CF9AE}" pid="13" name="NumList">
    <vt:lpwstr>false</vt:lpwstr>
  </property>
  <property fmtid="{D5CDD505-2E9C-101B-9397-08002B2CF9AE}" pid="14" name="KSOProductBuildVer">
    <vt:lpwstr>2052-11.8.2.10552</vt:lpwstr>
  </property>
  <property fmtid="{D5CDD505-2E9C-101B-9397-08002B2CF9AE}" pid="15" name="ICV">
    <vt:lpwstr>548D2CF66120F37A891E2D699F768658_43</vt:lpwstr>
  </property>
</Properties>
</file>