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0"/>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14:paraId="3D0F4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21C231B1">
            <w:pPr>
              <w:pStyle w:val="19"/>
              <w:framePr w:wrap="notBeside" w:vAnchor="page" w:hAnchor="page" w:x="1372" w:y="568"/>
              <w:tabs>
                <w:tab w:val="clear" w:pos="4153"/>
                <w:tab w:val="clear" w:pos="8306"/>
              </w:tabs>
              <w:spacing w:line="240" w:lineRule="auto"/>
              <w:jc w:val="left"/>
              <w:rPr>
                <w:rFonts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14:paraId="31F91E61">
            <w:pPr>
              <w:pStyle w:val="19"/>
              <w:framePr w:wrap="notBeside" w:vAnchor="page" w:hAnchor="page" w:x="1372" w:y="568"/>
              <w:tabs>
                <w:tab w:val="clear" w:pos="4153"/>
                <w:tab w:val="clear" w:pos="8306"/>
              </w:tabs>
              <w:spacing w:line="240" w:lineRule="auto"/>
              <w:ind w:left="3"/>
              <w:jc w:val="both"/>
              <w:rPr>
                <w:rFonts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03.120,01</w:t>
            </w:r>
            <w:r>
              <w:rPr>
                <w:rFonts w:ascii="黑体" w:hAnsi="黑体" w:eastAsia="黑体"/>
                <w:sz w:val="21"/>
                <w:szCs w:val="21"/>
              </w:rPr>
              <w:fldChar w:fldCharType="end"/>
            </w:r>
            <w:bookmarkEnd w:id="0"/>
          </w:p>
        </w:tc>
      </w:tr>
      <w:tr w14:paraId="2AA5E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0E7915AF">
            <w:pPr>
              <w:pStyle w:val="19"/>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p w14:paraId="5641855B">
            <w:pPr>
              <w:pStyle w:val="19"/>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A 00</w:t>
            </w:r>
            <w:r>
              <w:rPr>
                <w:rFonts w:ascii="黑体" w:hAnsi="黑体" w:eastAsia="黑体"/>
                <w:sz w:val="21"/>
                <w:szCs w:val="21"/>
              </w:rPr>
              <w:fldChar w:fldCharType="end"/>
            </w:r>
            <w:bookmarkEnd w:id="1"/>
          </w:p>
        </w:tc>
      </w:tr>
    </w:tbl>
    <w:tbl>
      <w:tblPr>
        <w:tblStyle w:val="30"/>
        <w:tblpPr w:leftFromText="181" w:rightFromText="181" w:horzAnchor="margin" w:tblpX="3857" w:tblpY="56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990"/>
      </w:tblGrid>
      <w:tr w14:paraId="6E91D255">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28" w:hRule="atLeast"/>
        </w:trPr>
        <w:tc>
          <w:tcPr>
            <w:tcW w:w="4990" w:type="dxa"/>
          </w:tcPr>
          <w:p w14:paraId="39F7B2C4">
            <w:pPr>
              <w:pStyle w:val="53"/>
              <w:framePr w:w="0" w:hRule="auto" w:wrap="auto" w:vAnchor="margin" w:hAnchor="text" w:xAlign="left" w:yAlign="inline"/>
              <w:ind w:firstLine="420"/>
            </w:pPr>
            <w:bookmarkStart w:id="2" w:name="_Hlk26473981"/>
            <w:r>
              <w:fldChar w:fldCharType="begin">
                <w:ffData>
                  <w:name w:val="c1"/>
                  <w:enabled/>
                  <w:calcOnExit w:val="0"/>
                  <w:textInput>
                    <w:maxLength w:val="8"/>
                  </w:textInput>
                </w:ffData>
              </w:fldChar>
            </w:r>
            <w:bookmarkStart w:id="3" w:name="c1"/>
            <w:r>
              <w:instrText xml:space="preserve"> FORMTEXT </w:instrText>
            </w:r>
            <w:r>
              <w:fldChar w:fldCharType="separate"/>
            </w:r>
            <w:r>
              <w:rPr>
                <w:rFonts w:hint="eastAsia"/>
              </w:rPr>
              <w:t>MR</w:t>
            </w:r>
            <w:r>
              <w:fldChar w:fldCharType="end"/>
            </w:r>
            <w:bookmarkEnd w:id="3"/>
          </w:p>
        </w:tc>
      </w:tr>
    </w:tbl>
    <w:p w14:paraId="6B3EEB81">
      <w:pPr>
        <w:pStyle w:val="54"/>
        <w:framePr w:w="9639" w:h="624" w:hRule="exact" w:hSpace="181" w:vSpace="181" w:wrap="around" w:hAnchor="page" w:x="1305" w:y="2269"/>
        <w:rPr>
          <w:rFonts w:ascii="黑体" w:hAnsi="黑体" w:eastAsia="黑体"/>
          <w:b w:val="0"/>
          <w:bCs w:val="0"/>
          <w:w w:val="100"/>
          <w:sz w:val="48"/>
          <w:szCs w:val="48"/>
        </w:rPr>
      </w:pPr>
      <w:r>
        <w:rPr>
          <w:rFonts w:hint="eastAsia" w:ascii="黑体" w:hAnsi="黑体" w:eastAsia="黑体"/>
          <w:b w:val="0"/>
          <w:bCs w:val="0"/>
          <w:w w:val="100"/>
          <w:sz w:val="48"/>
          <w:szCs w:val="48"/>
        </w:rPr>
        <w:t>中华人民共和国</w:t>
      </w:r>
      <w:r>
        <w:rPr>
          <w:rFonts w:ascii="黑体" w:eastAsia="黑体"/>
          <w:b w:val="0"/>
          <w:bCs w:val="0"/>
          <w:w w:val="100"/>
          <w:sz w:val="48"/>
        </w:rPr>
        <w:fldChar w:fldCharType="begin">
          <w:ffData>
            <w:name w:val="c2"/>
            <w:enabled/>
            <w:calcOnExit w:val="0"/>
            <w:textInput/>
          </w:ffData>
        </w:fldChar>
      </w:r>
      <w:bookmarkStart w:id="4" w:name="c2"/>
      <w:r>
        <w:rPr>
          <w:rFonts w:ascii="黑体" w:eastAsia="黑体"/>
          <w:b w:val="0"/>
          <w:bCs w:val="0"/>
          <w:w w:val="100"/>
          <w:sz w:val="48"/>
        </w:rPr>
        <w:instrText xml:space="preserve"> FORMTEXT </w:instrText>
      </w:r>
      <w:r>
        <w:rPr>
          <w:rFonts w:ascii="黑体" w:eastAsia="黑体"/>
          <w:b w:val="0"/>
          <w:bCs w:val="0"/>
          <w:w w:val="100"/>
          <w:sz w:val="48"/>
        </w:rPr>
        <w:fldChar w:fldCharType="separate"/>
      </w:r>
      <w:r>
        <w:rPr>
          <w:rFonts w:hint="eastAsia" w:ascii="黑体" w:eastAsia="黑体"/>
          <w:b w:val="0"/>
          <w:bCs w:val="0"/>
          <w:w w:val="100"/>
          <w:sz w:val="48"/>
        </w:rPr>
        <w:t>市场监管</w:t>
      </w:r>
      <w:r>
        <w:rPr>
          <w:rFonts w:ascii="黑体" w:eastAsia="黑体"/>
          <w:b w:val="0"/>
          <w:bCs w:val="0"/>
          <w:w w:val="100"/>
          <w:sz w:val="48"/>
        </w:rPr>
        <w:fldChar w:fldCharType="end"/>
      </w:r>
      <w:bookmarkEnd w:id="4"/>
      <w:r>
        <w:rPr>
          <w:rFonts w:hint="eastAsia" w:ascii="黑体" w:hAnsi="黑体" w:eastAsia="黑体"/>
          <w:b w:val="0"/>
          <w:bCs w:val="0"/>
          <w:w w:val="100"/>
          <w:sz w:val="48"/>
          <w:szCs w:val="48"/>
        </w:rPr>
        <w:t>行业标准</w:t>
      </w:r>
    </w:p>
    <w:bookmarkEnd w:id="2"/>
    <w:p w14:paraId="67DDB1F7">
      <w:pPr>
        <w:pStyle w:val="199"/>
        <w:framePr/>
        <w:rPr>
          <w:lang w:val="fr-FR"/>
        </w:rPr>
      </w:pPr>
      <w:r>
        <w:fldChar w:fldCharType="begin">
          <w:ffData>
            <w:name w:val="文字1"/>
            <w:enabled/>
            <w:calcOnExit w:val="0"/>
            <w:textInput>
              <w:default w:val="XX/T"/>
            </w:textInput>
          </w:ffData>
        </w:fldChar>
      </w:r>
      <w:bookmarkStart w:id="5" w:name="文字1"/>
      <w:r>
        <w:rPr>
          <w:lang w:val="fr-FR"/>
        </w:rPr>
        <w:instrText xml:space="preserve"> FORMTEXT </w:instrText>
      </w:r>
      <w:r>
        <w:fldChar w:fldCharType="separate"/>
      </w:r>
      <w:r>
        <w:rPr>
          <w:rFonts w:hint="eastAsia"/>
          <w:lang w:val="fr-FR"/>
        </w:rPr>
        <w:t>MR</w:t>
      </w:r>
      <w:r>
        <w:rPr>
          <w:lang w:val="fr-FR"/>
        </w:rPr>
        <w:t>/T</w:t>
      </w:r>
      <w:r>
        <w:fldChar w:fldCharType="end"/>
      </w:r>
      <w:bookmarkEnd w:id="5"/>
      <w:r>
        <w:rPr>
          <w:lang w:val="fr-FR"/>
        </w:rPr>
        <w:t xml:space="preserve"> </w:t>
      </w:r>
      <w:r>
        <w:fldChar w:fldCharType="begin">
          <w:ffData>
            <w:name w:val="NSTD_CODE_F"/>
            <w:enabled/>
            <w:calcOnExit w:val="0"/>
            <w:textInput>
              <w:default w:val="XXXXX"/>
            </w:textInput>
          </w:ffData>
        </w:fldChar>
      </w:r>
      <w:bookmarkStart w:id="6" w:name="NSTD_CODE_F"/>
      <w:r>
        <w:rPr>
          <w:lang w:val="fr-FR"/>
        </w:rPr>
        <w:instrText xml:space="preserve"> FORMTEXT </w:instrText>
      </w:r>
      <w:r>
        <w:fldChar w:fldCharType="separate"/>
      </w:r>
      <w:r>
        <w:rPr>
          <w:lang w:val="fr-FR"/>
        </w:rPr>
        <w:t>XXXXX</w:t>
      </w:r>
      <w:r>
        <w:fldChar w:fldCharType="end"/>
      </w:r>
      <w:bookmarkEnd w:id="6"/>
      <w:r>
        <w:rPr>
          <w:rFonts w:hAnsi="黑体"/>
          <w:lang w:val="fr-FR"/>
        </w:rPr>
        <w:t>—</w:t>
      </w:r>
      <w:r>
        <w:fldChar w:fldCharType="begin">
          <w:ffData>
            <w:name w:val="NSTD_CODE_B"/>
            <w:enabled/>
            <w:calcOnExit w:val="0"/>
            <w:textInput>
              <w:default w:val="XXXX"/>
            </w:textInput>
          </w:ffData>
        </w:fldChar>
      </w:r>
      <w:bookmarkStart w:id="7" w:name="NSTD_CODE_B"/>
      <w:r>
        <w:rPr>
          <w:lang w:val="fr-FR"/>
        </w:rPr>
        <w:instrText xml:space="preserve"> FORMTEXT </w:instrText>
      </w:r>
      <w:r>
        <w:fldChar w:fldCharType="separate"/>
      </w:r>
      <w:r>
        <w:rPr>
          <w:lang w:val="fr-FR"/>
        </w:rPr>
        <w:t>XXXX</w:t>
      </w:r>
      <w:r>
        <w:fldChar w:fldCharType="end"/>
      </w:r>
      <w:bookmarkEnd w:id="7"/>
    </w:p>
    <w:p w14:paraId="3F01458B">
      <w:pPr>
        <w:spacing w:line="240" w:lineRule="auto"/>
        <w:rPr>
          <w:rFonts w:ascii="黑体" w:hAnsi="黑体" w:eastAsia="黑体"/>
          <w:kern w:val="0"/>
          <w:sz w:val="10"/>
          <w:szCs w:val="10"/>
          <w:lang w:val="fr-FR"/>
        </w:rPr>
      </w:pPr>
      <w:r>
        <w:rPr>
          <w:rFonts w:ascii="黑体" w:hAnsi="黑体" w:eastAsia="黑体"/>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2699385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55pt;height:0pt;width:481.9pt;mso-position-horizontal-relative:page;mso-position-vertical-relative:page;z-index:251659264;mso-width-relative:page;mso-height-relative:page;" filled="f" stroked="t" coordsize="21600,21600" o:allowoverlap="f" o:gfxdata="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FN4nSLXAAAA&#10;DAEAAA8AAAAAAAAAAQAgAAAAIgAAAGRycy9kb3ducmV2LnhtbFBLAQIUABQAAAAIAIdO4kDh++MY&#10;5QEAAKwDAAAOAAAAAAAAAAEAIAAAACYBAABkcnMvZTJvRG9jLnhtbFBLBQYAAAAABgAGAFkBAAB9&#10;BQAAAAA=&#10;">
                <v:fill on="f" focussize="0,0"/>
                <v:stroke color="#000000" joinstyle="round"/>
                <v:imagedata o:title=""/>
                <o:lock v:ext="edit" aspectratio="f"/>
              </v:line>
            </w:pict>
          </mc:Fallback>
        </mc:AlternateContent>
      </w:r>
    </w:p>
    <w:p w14:paraId="2ED5C628">
      <w:pPr>
        <w:pStyle w:val="54"/>
        <w:framePr w:w="9639" w:h="6976" w:hRule="exact" w:hSpace="0" w:vSpace="0" w:wrap="around" w:hAnchor="page" w:y="6408"/>
        <w:jc w:val="center"/>
        <w:rPr>
          <w:rFonts w:ascii="黑体" w:hAnsi="黑体" w:eastAsia="黑体"/>
          <w:b w:val="0"/>
          <w:bCs w:val="0"/>
          <w:w w:val="100"/>
          <w:lang w:val="fr-FR"/>
        </w:rPr>
      </w:pPr>
    </w:p>
    <w:p w14:paraId="5A1FAC25">
      <w:pPr>
        <w:pStyle w:val="201"/>
        <w:framePr w:h="6974" w:hRule="exact" w:wrap="around" w:x="1419" w:anchorLock="1"/>
      </w:pPr>
      <w:r>
        <w:fldChar w:fldCharType="begin">
          <w:ffData>
            <w:name w:val="CSTD_NAME"/>
            <w:enabled/>
            <w:calcOnExit w:val="0"/>
            <w:textInput>
              <w:default w:val="点击此处添加标准名称"/>
            </w:textInput>
          </w:ffData>
        </w:fldChar>
      </w:r>
      <w:bookmarkStart w:id="8" w:name="CSTD_NAME"/>
      <w:r>
        <w:instrText xml:space="preserve"> FORMTEXT </w:instrText>
      </w:r>
      <w:r>
        <w:fldChar w:fldCharType="separate"/>
      </w:r>
      <w:r>
        <w:rPr>
          <w:rFonts w:hint="eastAsia"/>
        </w:rPr>
        <w:t>工业产品质量技术帮扶和质量安全监管联动工作指南</w:t>
      </w:r>
      <w:r>
        <w:fldChar w:fldCharType="end"/>
      </w:r>
      <w:bookmarkEnd w:id="8"/>
    </w:p>
    <w:p w14:paraId="0C1BE973">
      <w:pPr>
        <w:framePr w:w="9639" w:h="6974" w:hRule="exact" w:wrap="around" w:vAnchor="page" w:hAnchor="page" w:x="1419" w:y="6408" w:anchorLock="1"/>
        <w:ind w:left="-1418"/>
      </w:pPr>
    </w:p>
    <w:p w14:paraId="25D7AABC">
      <w:pPr>
        <w:pStyle w:val="129"/>
        <w:framePr w:w="9639" w:h="6974" w:hRule="exact" w:wrap="around" w:vAnchor="page" w:hAnchor="page" w:x="1419" w:y="6408" w:anchorLock="1"/>
        <w:textAlignment w:val="bottom"/>
        <w:rPr>
          <w:rFonts w:eastAsia="黑体"/>
          <w:szCs w:val="28"/>
        </w:rPr>
      </w:pPr>
      <w:r>
        <w:rPr>
          <w:rFonts w:eastAsia="黑体"/>
          <w:szCs w:val="28"/>
        </w:rPr>
        <w:fldChar w:fldCharType="begin">
          <w:ffData>
            <w:name w:val="ESTD_NAME"/>
            <w:enabled/>
            <w:calcOnExit w:val="0"/>
            <w:textInput>
              <w:default w:val="点击此处添加标准名称的英文译名"/>
            </w:textInput>
          </w:ffData>
        </w:fldChar>
      </w:r>
      <w:bookmarkStart w:id="9" w:name="ESTD_NAME"/>
      <w:r>
        <w:rPr>
          <w:rFonts w:eastAsia="黑体"/>
          <w:szCs w:val="28"/>
        </w:rPr>
        <w:instrText xml:space="preserve"> FORMTEXT </w:instrText>
      </w:r>
      <w:r>
        <w:rPr>
          <w:rFonts w:eastAsia="黑体"/>
          <w:szCs w:val="28"/>
        </w:rPr>
        <w:fldChar w:fldCharType="separate"/>
      </w:r>
      <w:r>
        <w:rPr>
          <w:rFonts w:hint="eastAsia" w:eastAsia="黑体"/>
          <w:szCs w:val="28"/>
        </w:rPr>
        <w:t>Guidelines for the linkage between technical assistance and quality supervision of industrial products</w:t>
      </w:r>
      <w:r>
        <w:rPr>
          <w:rFonts w:eastAsia="黑体"/>
          <w:szCs w:val="28"/>
        </w:rPr>
        <w:fldChar w:fldCharType="end"/>
      </w:r>
      <w:bookmarkEnd w:id="9"/>
    </w:p>
    <w:p w14:paraId="5DBDAC7C">
      <w:pPr>
        <w:framePr w:w="9639" w:h="6974" w:hRule="exact" w:wrap="around" w:vAnchor="page" w:hAnchor="page" w:x="1419" w:y="6408" w:anchorLock="1"/>
        <w:spacing w:line="760" w:lineRule="exact"/>
        <w:ind w:left="-1418"/>
      </w:pPr>
    </w:p>
    <w:p w14:paraId="508F081B">
      <w:pPr>
        <w:pStyle w:val="129"/>
        <w:framePr w:w="9639" w:h="6974" w:hRule="exact" w:wrap="around" w:vAnchor="page" w:hAnchor="page" w:x="1419" w:y="6408" w:anchorLock="1"/>
        <w:textAlignment w:val="bottom"/>
        <w:rPr>
          <w:rFonts w:eastAsia="黑体"/>
          <w:szCs w:val="28"/>
        </w:rPr>
      </w:pPr>
      <w:r>
        <w:rPr>
          <w:rFonts w:eastAsia="黑体"/>
          <w:szCs w:val="28"/>
        </w:rPr>
        <w:fldChar w:fldCharType="begin">
          <w:ffData>
            <w:name w:val="IN_STD_CODE"/>
            <w:enabled/>
            <w:calcOnExit w:val="0"/>
            <w:textInput>
              <w:default w:val="(点击此处添加与国际标准一致性程度的标识)"/>
            </w:textInput>
          </w:ffData>
        </w:fldChar>
      </w:r>
      <w:bookmarkStart w:id="10" w:name="IN_STD_CODE"/>
      <w:r>
        <w:rPr>
          <w:rFonts w:eastAsia="黑体"/>
          <w:szCs w:val="28"/>
        </w:rPr>
        <w:instrText xml:space="preserve"> FORMTEXT </w:instrText>
      </w:r>
      <w:r>
        <w:rPr>
          <w:rFonts w:eastAsia="黑体"/>
          <w:szCs w:val="28"/>
        </w:rPr>
        <w:fldChar w:fldCharType="separate"/>
      </w:r>
      <w:r>
        <w:rPr>
          <w:rFonts w:hint="eastAsia" w:eastAsia="黑体"/>
          <w:szCs w:val="28"/>
        </w:rPr>
        <w:t>(点击此处添加与国际标准一致性程度的标识)</w:t>
      </w:r>
      <w:r>
        <w:rPr>
          <w:rFonts w:eastAsia="黑体"/>
          <w:szCs w:val="28"/>
        </w:rPr>
        <w:fldChar w:fldCharType="end"/>
      </w:r>
      <w:bookmarkEnd w:id="10"/>
    </w:p>
    <w:p w14:paraId="1A36E5B4">
      <w:pPr>
        <w:pStyle w:val="129"/>
        <w:framePr w:w="9639" w:h="6974" w:hRule="exact" w:wrap="around" w:vAnchor="page" w:hAnchor="page" w:x="1419" w:y="6408" w:anchorLock="1"/>
        <w:spacing w:before="440" w:after="160"/>
        <w:textAlignment w:val="bottom"/>
        <w:rPr>
          <w:sz w:val="24"/>
          <w:szCs w:val="28"/>
        </w:rPr>
      </w:pPr>
      <w:r>
        <w:rPr>
          <w:sz w:val="24"/>
          <w:szCs w:val="28"/>
        </w:rPr>
        <w:fldChar w:fldCharType="begin">
          <w:ffData>
            <w:name w:val="下拉1"/>
            <w:enabled/>
            <w:calcOnExit w:val="0"/>
            <w:ddList>
              <w:result w:val="1"/>
              <w:listEntry w:val=" "/>
              <w:listEntry w:val="草案版次选择"/>
              <w:listEntry w:val="（工作组讨论稿）"/>
              <w:listEntry w:val="（征求意见稿）"/>
              <w:listEntry w:val="（送审讨论稿）"/>
              <w:listEntry w:val="（送审稿）"/>
              <w:listEntry w:val="（报批稿）"/>
            </w:ddList>
          </w:ffData>
        </w:fldChar>
      </w:r>
      <w:bookmarkStart w:id="11" w:name="下拉1"/>
      <w:r>
        <w:rPr>
          <w:sz w:val="24"/>
          <w:szCs w:val="28"/>
        </w:rPr>
        <w:instrText xml:space="preserve"> FORMDROPDOWN </w:instrText>
      </w:r>
      <w:r>
        <w:rPr>
          <w:sz w:val="24"/>
          <w:szCs w:val="28"/>
        </w:rPr>
        <w:fldChar w:fldCharType="separate"/>
      </w:r>
      <w:r>
        <w:rPr>
          <w:sz w:val="24"/>
          <w:szCs w:val="28"/>
        </w:rPr>
        <w:fldChar w:fldCharType="end"/>
      </w:r>
      <w:bookmarkEnd w:id="11"/>
    </w:p>
    <w:p w14:paraId="4716E176">
      <w:pPr>
        <w:pStyle w:val="129"/>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2" w:name="CMPLSH_DATE"/>
      <w:r>
        <w:rPr>
          <w:sz w:val="21"/>
          <w:szCs w:val="28"/>
        </w:rPr>
        <w:instrText xml:space="preserve"> FORMTEXT </w:instrText>
      </w:r>
      <w:r>
        <w:rPr>
          <w:sz w:val="21"/>
          <w:szCs w:val="28"/>
        </w:rPr>
        <w:fldChar w:fldCharType="separate"/>
      </w:r>
      <w:r>
        <w:rPr>
          <w:sz w:val="21"/>
          <w:szCs w:val="28"/>
        </w:rPr>
        <w:t>     </w:t>
      </w:r>
      <w:r>
        <w:rPr>
          <w:sz w:val="21"/>
          <w:szCs w:val="28"/>
        </w:rPr>
        <w:fldChar w:fldCharType="end"/>
      </w:r>
      <w:bookmarkEnd w:id="12"/>
    </w:p>
    <w:p w14:paraId="53D4591D">
      <w:pPr>
        <w:pStyle w:val="129"/>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13" w:name="下拉2"/>
      <w:r>
        <w:rPr>
          <w:b/>
          <w:sz w:val="21"/>
          <w:szCs w:val="28"/>
        </w:rPr>
        <w:instrText xml:space="preserve"> FORMDROPDOWN </w:instrText>
      </w:r>
      <w:r>
        <w:rPr>
          <w:b/>
          <w:sz w:val="21"/>
          <w:szCs w:val="28"/>
        </w:rPr>
        <w:fldChar w:fldCharType="separate"/>
      </w:r>
      <w:r>
        <w:rPr>
          <w:b/>
          <w:sz w:val="21"/>
          <w:szCs w:val="28"/>
        </w:rPr>
        <w:fldChar w:fldCharType="end"/>
      </w:r>
      <w:bookmarkEnd w:id="13"/>
    </w:p>
    <w:p w14:paraId="146B80EF">
      <w:pPr>
        <w:pStyle w:val="197"/>
        <w:framePr w:wrap="around" w:y="14176"/>
      </w:pPr>
      <w:r>
        <w:rPr>
          <w:rFonts w:ascii="黑体"/>
        </w:rPr>
        <w:fldChar w:fldCharType="begin">
          <w:ffData>
            <w:name w:val="PLSH_DATE_Y"/>
            <w:enabled/>
            <w:calcOnExit w:val="0"/>
            <w:textInput>
              <w:default w:val="XXXX"/>
              <w:maxLength w:val="4"/>
            </w:textInput>
          </w:ffData>
        </w:fldChar>
      </w:r>
      <w:bookmarkStart w:id="14"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4"/>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5"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5"/>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6"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6"/>
      <w:r>
        <w:rPr>
          <w:rFonts w:hint="eastAsia"/>
        </w:rPr>
        <w:t>发布</w:t>
      </w:r>
    </w:p>
    <w:p w14:paraId="7B3E0AAA">
      <w:pPr>
        <w:pStyle w:val="198"/>
        <w:framePr w:wrap="around" w:y="14176"/>
      </w:pPr>
      <w:r>
        <w:rPr>
          <w:rFonts w:ascii="黑体"/>
        </w:rPr>
        <w:fldChar w:fldCharType="begin">
          <w:ffData>
            <w:name w:val="CROT_DATE_Y"/>
            <w:enabled/>
            <w:calcOnExit w:val="0"/>
            <w:textInput>
              <w:default w:val="XXXX"/>
              <w:maxLength w:val="4"/>
            </w:textInput>
          </w:ffData>
        </w:fldChar>
      </w:r>
      <w:bookmarkStart w:id="17"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7"/>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8"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8"/>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19"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9"/>
      <w:r>
        <w:rPr>
          <w:rFonts w:hint="eastAsia"/>
        </w:rPr>
        <w:t>实施</w:t>
      </w:r>
    </w:p>
    <w:p w14:paraId="162C24A8">
      <w:pPr>
        <w:pStyle w:val="155"/>
        <w:framePr w:h="584" w:hRule="exact" w:hSpace="181" w:vSpace="181" w:wrap="around" w:y="14800"/>
        <w:rPr>
          <w:rFonts w:hAnsi="黑体"/>
        </w:rPr>
      </w:pPr>
      <w:r>
        <w:rPr>
          <w:rFonts w:hAnsi="黑体"/>
          <w:w w:val="100"/>
          <w:sz w:val="28"/>
        </w:rPr>
        <w:fldChar w:fldCharType="begin">
          <w:ffData>
            <w:name w:val="fm"/>
            <w:enabled/>
            <w:calcOnExit w:val="0"/>
            <w:textInput/>
          </w:ffData>
        </w:fldChar>
      </w:r>
      <w:bookmarkStart w:id="20" w:name="fm"/>
      <w:r>
        <w:rPr>
          <w:rFonts w:hAnsi="黑体"/>
          <w:w w:val="100"/>
          <w:sz w:val="28"/>
        </w:rPr>
        <w:instrText xml:space="preserve"> FORMTEXT </w:instrText>
      </w:r>
      <w:r>
        <w:rPr>
          <w:rFonts w:hAnsi="黑体"/>
          <w:w w:val="100"/>
          <w:sz w:val="28"/>
        </w:rPr>
        <w:fldChar w:fldCharType="separate"/>
      </w:r>
      <w:r>
        <w:rPr>
          <w:rFonts w:hint="eastAsia" w:hAnsi="黑体"/>
          <w:w w:val="100"/>
          <w:sz w:val="28"/>
        </w:rPr>
        <w:t>国家市场监督管理总局</w:t>
      </w:r>
      <w:r>
        <w:rPr>
          <w:rFonts w:hAnsi="黑体"/>
          <w:w w:val="100"/>
          <w:sz w:val="28"/>
        </w:rPr>
        <w:fldChar w:fldCharType="end"/>
      </w:r>
      <w:bookmarkEnd w:id="20"/>
      <w:r>
        <w:rPr>
          <w:rFonts w:ascii="Times New Roman"/>
          <w:w w:val="100"/>
          <w:sz w:val="28"/>
          <w:szCs w:val="28"/>
        </w:rPr>
        <w:t>  </w:t>
      </w:r>
      <w:r>
        <w:rPr>
          <w:rStyle w:val="233"/>
          <w:rFonts w:hint="eastAsia" w:hAnsi="黑体"/>
          <w:position w:val="0"/>
        </w:rPr>
        <w:t>发</w:t>
      </w:r>
      <w:r>
        <w:rPr>
          <w:rStyle w:val="233"/>
          <w:rFonts w:hint="eastAsia" w:hAnsi="黑体"/>
          <w:spacing w:val="0"/>
          <w:position w:val="0"/>
        </w:rPr>
        <w:t>布</w:t>
      </w:r>
    </w:p>
    <w:p w14:paraId="3686EF1D">
      <w:pPr>
        <w:rPr>
          <w:rFonts w:ascii="宋体" w:hAnsi="宋体"/>
          <w:sz w:val="28"/>
          <w:szCs w:val="28"/>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567" w:right="1134" w:bottom="1021" w:left="1134" w:header="1418" w:footer="1134" w:gutter="284"/>
          <w:cols w:space="425" w:num="1"/>
          <w:titlePg/>
          <w:docGrid w:linePitch="312" w:charSpace="0"/>
        </w:sectPr>
      </w:pPr>
      <w:r>
        <w:rPr>
          <w:rFonts w:ascii="宋体" w:hAnsi="宋体"/>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9251950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5pt;height:0pt;width:481.9pt;mso-position-horizontal-relative:page;mso-position-vertical-relative:page;z-index:251660288;mso-width-relative:page;mso-height-relative:page;" filled="f" stroked="t" coordsize="21600,21600" o:gfxdata="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IIroS1wAAAA4B&#10;AAAPAAAAAAAAAAEAIAAAACIAAABkcnMvZG93bnJldi54bWxQSwECFAAUAAAACACHTuJAAzUM5uMB&#10;AACqAwAADgAAAAAAAAABACAAAAAmAQAAZHJzL2Uyb0RvYy54bWxQSwUGAAAAAAYABgBZAQAAewUA&#10;AAAA&#10;">
                <v:fill on="f" focussize="0,0"/>
                <v:stroke color="#000000" joinstyle="round"/>
                <v:imagedata o:title=""/>
                <o:lock v:ext="edit" aspectratio="f"/>
                <w10:anchorlock/>
              </v:line>
            </w:pict>
          </mc:Fallback>
        </mc:AlternateContent>
      </w:r>
    </w:p>
    <w:p w14:paraId="718FFA35">
      <w:pPr>
        <w:pStyle w:val="95"/>
        <w:spacing w:after="360"/>
      </w:pPr>
      <w:bookmarkStart w:id="21" w:name="BookMark1"/>
      <w:bookmarkStart w:id="22" w:name="_Toc208503928"/>
      <w:bookmarkStart w:id="23" w:name="_Toc228970005"/>
      <w:bookmarkStart w:id="24" w:name="_Toc228969887"/>
      <w:bookmarkStart w:id="25" w:name="_Toc228969769"/>
      <w:bookmarkStart w:id="26" w:name="_Toc225243326"/>
      <w:bookmarkStart w:id="27" w:name="_Toc214287527"/>
      <w:bookmarkStart w:id="28" w:name="_Toc225243723"/>
      <w:bookmarkStart w:id="29" w:name="_Toc221540509"/>
      <w:bookmarkStart w:id="30" w:name="_Toc208504816"/>
      <w:bookmarkStart w:id="31" w:name="_Toc208503899"/>
      <w:r>
        <w:rPr>
          <w:rFonts w:hint="eastAsia"/>
          <w:spacing w:val="320"/>
        </w:rPr>
        <w:t>目</w:t>
      </w:r>
      <w:r>
        <w:rPr>
          <w:rFonts w:hint="eastAsia"/>
        </w:rPr>
        <w:t>次</w:t>
      </w:r>
    </w:p>
    <w:p w14:paraId="3B7EB8D1">
      <w:pPr>
        <w:pStyle w:val="20"/>
        <w:tabs>
          <w:tab w:val="right" w:leader="dot" w:pos="9344"/>
        </w:tabs>
        <w:rPr>
          <w:rFonts w:asciiTheme="minorHAnsi" w:hAnsiTheme="minorHAnsi" w:eastAsiaTheme="minorEastAsia" w:cstheme="minorBidi"/>
          <w:szCs w:val="22"/>
        </w:rPr>
      </w:pPr>
      <w:r>
        <w:fldChar w:fldCharType="begin"/>
      </w:r>
      <w:r>
        <w:instrText xml:space="preserve"> TOC \o "1-1" \h </w:instrText>
      </w:r>
      <w:r>
        <w:fldChar w:fldCharType="separate"/>
      </w:r>
      <w:r>
        <w:fldChar w:fldCharType="begin"/>
      </w:r>
      <w:r>
        <w:instrText xml:space="preserve"> HYPERLINK \l "_Toc228970153" </w:instrText>
      </w:r>
      <w:r>
        <w:fldChar w:fldCharType="separate"/>
      </w:r>
      <w:r>
        <w:rPr>
          <w:rStyle w:val="35"/>
        </w:rPr>
        <w:t>前言</w:t>
      </w:r>
      <w:r>
        <w:tab/>
      </w:r>
      <w:r>
        <w:fldChar w:fldCharType="begin"/>
      </w:r>
      <w:r>
        <w:instrText xml:space="preserve"> PAGEREF _Toc228970153 \h </w:instrText>
      </w:r>
      <w:r>
        <w:fldChar w:fldCharType="separate"/>
      </w:r>
      <w:r>
        <w:t>II</w:t>
      </w:r>
      <w:r>
        <w:fldChar w:fldCharType="end"/>
      </w:r>
      <w:r>
        <w:fldChar w:fldCharType="end"/>
      </w:r>
    </w:p>
    <w:p w14:paraId="0785039E">
      <w:pPr>
        <w:pStyle w:val="20"/>
        <w:tabs>
          <w:tab w:val="right" w:leader="dot" w:pos="9344"/>
        </w:tabs>
        <w:rPr>
          <w:rFonts w:asciiTheme="minorHAnsi" w:hAnsiTheme="minorHAnsi" w:eastAsiaTheme="minorEastAsia" w:cstheme="minorBidi"/>
          <w:szCs w:val="22"/>
        </w:rPr>
      </w:pPr>
      <w:r>
        <w:fldChar w:fldCharType="begin"/>
      </w:r>
      <w:r>
        <w:instrText xml:space="preserve"> HYPERLINK \l "_Toc228970154" </w:instrText>
      </w:r>
      <w:r>
        <w:fldChar w:fldCharType="separate"/>
      </w:r>
      <w:r>
        <w:rPr>
          <w:rStyle w:val="35"/>
        </w:rPr>
        <w:t>1  范围</w:t>
      </w:r>
      <w:r>
        <w:tab/>
      </w:r>
      <w:r>
        <w:fldChar w:fldCharType="begin"/>
      </w:r>
      <w:r>
        <w:instrText xml:space="preserve"> PAGEREF _Toc228970154 \h </w:instrText>
      </w:r>
      <w:r>
        <w:fldChar w:fldCharType="separate"/>
      </w:r>
      <w:r>
        <w:t>1</w:t>
      </w:r>
      <w:r>
        <w:fldChar w:fldCharType="end"/>
      </w:r>
      <w:r>
        <w:fldChar w:fldCharType="end"/>
      </w:r>
    </w:p>
    <w:p w14:paraId="14E88823">
      <w:pPr>
        <w:pStyle w:val="20"/>
        <w:tabs>
          <w:tab w:val="right" w:leader="dot" w:pos="9344"/>
        </w:tabs>
        <w:rPr>
          <w:rFonts w:asciiTheme="minorHAnsi" w:hAnsiTheme="minorHAnsi" w:eastAsiaTheme="minorEastAsia" w:cstheme="minorBidi"/>
          <w:szCs w:val="22"/>
        </w:rPr>
      </w:pPr>
      <w:r>
        <w:fldChar w:fldCharType="begin"/>
      </w:r>
      <w:r>
        <w:instrText xml:space="preserve"> HYPERLINK \l "_Toc228970155" </w:instrText>
      </w:r>
      <w:r>
        <w:fldChar w:fldCharType="separate"/>
      </w:r>
      <w:r>
        <w:rPr>
          <w:rStyle w:val="35"/>
        </w:rPr>
        <w:t>2  规范性引用文件</w:t>
      </w:r>
      <w:r>
        <w:tab/>
      </w:r>
      <w:r>
        <w:fldChar w:fldCharType="begin"/>
      </w:r>
      <w:r>
        <w:instrText xml:space="preserve"> PAGEREF _Toc228970155 \h </w:instrText>
      </w:r>
      <w:r>
        <w:fldChar w:fldCharType="separate"/>
      </w:r>
      <w:r>
        <w:t>1</w:t>
      </w:r>
      <w:r>
        <w:fldChar w:fldCharType="end"/>
      </w:r>
      <w:r>
        <w:fldChar w:fldCharType="end"/>
      </w:r>
    </w:p>
    <w:p w14:paraId="37BB61FC">
      <w:pPr>
        <w:pStyle w:val="20"/>
        <w:tabs>
          <w:tab w:val="right" w:leader="dot" w:pos="9344"/>
        </w:tabs>
        <w:rPr>
          <w:rFonts w:asciiTheme="minorHAnsi" w:hAnsiTheme="minorHAnsi" w:eastAsiaTheme="minorEastAsia" w:cstheme="minorBidi"/>
          <w:szCs w:val="22"/>
        </w:rPr>
      </w:pPr>
      <w:r>
        <w:fldChar w:fldCharType="begin"/>
      </w:r>
      <w:r>
        <w:instrText xml:space="preserve"> HYPERLINK \l "_Toc228970156" </w:instrText>
      </w:r>
      <w:r>
        <w:fldChar w:fldCharType="separate"/>
      </w:r>
      <w:r>
        <w:rPr>
          <w:rStyle w:val="35"/>
        </w:rPr>
        <w:t>3  术语和定义</w:t>
      </w:r>
      <w:r>
        <w:tab/>
      </w:r>
      <w:r>
        <w:fldChar w:fldCharType="begin"/>
      </w:r>
      <w:r>
        <w:instrText xml:space="preserve"> PAGEREF _Toc228970156 \h </w:instrText>
      </w:r>
      <w:r>
        <w:fldChar w:fldCharType="separate"/>
      </w:r>
      <w:r>
        <w:t>1</w:t>
      </w:r>
      <w:r>
        <w:fldChar w:fldCharType="end"/>
      </w:r>
      <w:r>
        <w:fldChar w:fldCharType="end"/>
      </w:r>
    </w:p>
    <w:p w14:paraId="2AAACE06">
      <w:pPr>
        <w:pStyle w:val="20"/>
        <w:tabs>
          <w:tab w:val="right" w:leader="dot" w:pos="9344"/>
        </w:tabs>
        <w:rPr>
          <w:rFonts w:asciiTheme="minorHAnsi" w:hAnsiTheme="minorHAnsi" w:eastAsiaTheme="minorEastAsia" w:cstheme="minorBidi"/>
          <w:szCs w:val="22"/>
        </w:rPr>
      </w:pPr>
      <w:r>
        <w:fldChar w:fldCharType="begin"/>
      </w:r>
      <w:r>
        <w:instrText xml:space="preserve"> HYPERLINK \l "_Toc228970157" </w:instrText>
      </w:r>
      <w:r>
        <w:fldChar w:fldCharType="separate"/>
      </w:r>
      <w:r>
        <w:rPr>
          <w:rStyle w:val="35"/>
        </w:rPr>
        <w:t>4  基本原则</w:t>
      </w:r>
      <w:r>
        <w:tab/>
      </w:r>
      <w:r>
        <w:fldChar w:fldCharType="begin"/>
      </w:r>
      <w:r>
        <w:instrText xml:space="preserve"> PAGEREF _Toc228970157 \h </w:instrText>
      </w:r>
      <w:r>
        <w:fldChar w:fldCharType="separate"/>
      </w:r>
      <w:r>
        <w:t>1</w:t>
      </w:r>
      <w:r>
        <w:fldChar w:fldCharType="end"/>
      </w:r>
      <w:r>
        <w:fldChar w:fldCharType="end"/>
      </w:r>
    </w:p>
    <w:p w14:paraId="75AE8EF9">
      <w:pPr>
        <w:pStyle w:val="20"/>
        <w:tabs>
          <w:tab w:val="right" w:leader="dot" w:pos="9344"/>
        </w:tabs>
        <w:rPr>
          <w:rFonts w:asciiTheme="minorHAnsi" w:hAnsiTheme="minorHAnsi" w:eastAsiaTheme="minorEastAsia" w:cstheme="minorBidi"/>
          <w:szCs w:val="22"/>
        </w:rPr>
      </w:pPr>
      <w:r>
        <w:fldChar w:fldCharType="begin"/>
      </w:r>
      <w:r>
        <w:instrText xml:space="preserve"> HYPERLINK \l "_Toc228970166" </w:instrText>
      </w:r>
      <w:r>
        <w:fldChar w:fldCharType="separate"/>
      </w:r>
      <w:r>
        <w:rPr>
          <w:rStyle w:val="35"/>
          <w:rFonts w:hAnsi="Arial" w:cs="Arial"/>
        </w:rPr>
        <w:t>5  帮扶对象和类型</w:t>
      </w:r>
      <w:r>
        <w:tab/>
      </w:r>
      <w:r>
        <w:fldChar w:fldCharType="begin"/>
      </w:r>
      <w:r>
        <w:instrText xml:space="preserve"> PAGEREF _Toc228970166 \h </w:instrText>
      </w:r>
      <w:r>
        <w:fldChar w:fldCharType="separate"/>
      </w:r>
      <w:r>
        <w:t>2</w:t>
      </w:r>
      <w:r>
        <w:fldChar w:fldCharType="end"/>
      </w:r>
      <w:r>
        <w:fldChar w:fldCharType="end"/>
      </w:r>
    </w:p>
    <w:p w14:paraId="44AFDBA5">
      <w:pPr>
        <w:pStyle w:val="20"/>
        <w:tabs>
          <w:tab w:val="right" w:leader="dot" w:pos="9344"/>
        </w:tabs>
        <w:rPr>
          <w:rFonts w:asciiTheme="minorHAnsi" w:hAnsiTheme="minorHAnsi" w:eastAsiaTheme="minorEastAsia" w:cstheme="minorBidi"/>
          <w:szCs w:val="22"/>
        </w:rPr>
      </w:pPr>
      <w:r>
        <w:fldChar w:fldCharType="begin"/>
      </w:r>
      <w:r>
        <w:instrText xml:space="preserve"> HYPERLINK \l "_Toc228970168" </w:instrText>
      </w:r>
      <w:r>
        <w:fldChar w:fldCharType="separate"/>
      </w:r>
      <w:r>
        <w:rPr>
          <w:rStyle w:val="35"/>
          <w:rFonts w:hAnsi="Arial"/>
        </w:rPr>
        <w:t>6  帮扶方法</w:t>
      </w:r>
      <w:r>
        <w:tab/>
      </w:r>
      <w:r>
        <w:fldChar w:fldCharType="begin"/>
      </w:r>
      <w:r>
        <w:instrText xml:space="preserve"> PAGEREF _Toc228970168 \h </w:instrText>
      </w:r>
      <w:r>
        <w:fldChar w:fldCharType="separate"/>
      </w:r>
      <w:r>
        <w:t>2</w:t>
      </w:r>
      <w:r>
        <w:fldChar w:fldCharType="end"/>
      </w:r>
      <w:r>
        <w:fldChar w:fldCharType="end"/>
      </w:r>
    </w:p>
    <w:p w14:paraId="298A2614">
      <w:pPr>
        <w:pStyle w:val="20"/>
        <w:tabs>
          <w:tab w:val="right" w:leader="dot" w:pos="9344"/>
        </w:tabs>
        <w:rPr>
          <w:rFonts w:asciiTheme="minorHAnsi" w:hAnsiTheme="minorHAnsi" w:eastAsiaTheme="minorEastAsia" w:cstheme="minorBidi"/>
          <w:szCs w:val="22"/>
        </w:rPr>
      </w:pPr>
      <w:r>
        <w:fldChar w:fldCharType="begin"/>
      </w:r>
      <w:r>
        <w:instrText xml:space="preserve"> HYPERLINK \l "_Toc228970189" </w:instrText>
      </w:r>
      <w:r>
        <w:fldChar w:fldCharType="separate"/>
      </w:r>
      <w:r>
        <w:rPr>
          <w:rStyle w:val="35"/>
        </w:rPr>
        <w:t>7  工作程序</w:t>
      </w:r>
      <w:r>
        <w:tab/>
      </w:r>
      <w:r>
        <w:fldChar w:fldCharType="begin"/>
      </w:r>
      <w:r>
        <w:instrText xml:space="preserve"> PAGEREF _Toc228970189 \h </w:instrText>
      </w:r>
      <w:r>
        <w:fldChar w:fldCharType="separate"/>
      </w:r>
      <w:r>
        <w:t>2</w:t>
      </w:r>
      <w:r>
        <w:fldChar w:fldCharType="end"/>
      </w:r>
      <w:r>
        <w:fldChar w:fldCharType="end"/>
      </w:r>
    </w:p>
    <w:p w14:paraId="33E39EA4">
      <w:pPr>
        <w:pStyle w:val="20"/>
        <w:tabs>
          <w:tab w:val="right" w:leader="dot" w:pos="9344"/>
        </w:tabs>
        <w:rPr>
          <w:rFonts w:asciiTheme="minorHAnsi" w:hAnsiTheme="minorHAnsi" w:eastAsiaTheme="minorEastAsia" w:cstheme="minorBidi"/>
          <w:szCs w:val="22"/>
        </w:rPr>
      </w:pPr>
      <w:r>
        <w:fldChar w:fldCharType="begin"/>
      </w:r>
      <w:r>
        <w:instrText xml:space="preserve"> HYPERLINK \l "_Toc228970190" </w:instrText>
      </w:r>
      <w:r>
        <w:fldChar w:fldCharType="separate"/>
      </w:r>
      <w:r>
        <w:rPr>
          <w:rStyle w:val="35"/>
        </w:rPr>
        <w:t>8  成果应用</w:t>
      </w:r>
      <w:r>
        <w:tab/>
      </w:r>
      <w:r>
        <w:fldChar w:fldCharType="begin"/>
      </w:r>
      <w:r>
        <w:instrText xml:space="preserve"> PAGEREF _Toc228970190 \h </w:instrText>
      </w:r>
      <w:r>
        <w:fldChar w:fldCharType="separate"/>
      </w:r>
      <w:r>
        <w:t>5</w:t>
      </w:r>
      <w:r>
        <w:fldChar w:fldCharType="end"/>
      </w:r>
      <w:r>
        <w:fldChar w:fldCharType="end"/>
      </w:r>
    </w:p>
    <w:p w14:paraId="3E49B718">
      <w:pPr>
        <w:pStyle w:val="20"/>
        <w:tabs>
          <w:tab w:val="right" w:leader="dot" w:pos="9344"/>
        </w:tabs>
        <w:rPr>
          <w:rFonts w:asciiTheme="minorHAnsi" w:hAnsiTheme="minorHAnsi" w:eastAsiaTheme="minorEastAsia" w:cstheme="minorBidi"/>
          <w:szCs w:val="22"/>
        </w:rPr>
      </w:pPr>
      <w:r>
        <w:fldChar w:fldCharType="begin"/>
      </w:r>
      <w:r>
        <w:instrText xml:space="preserve"> HYPERLINK \l "_Toc228970191" </w:instrText>
      </w:r>
      <w:r>
        <w:fldChar w:fldCharType="separate"/>
      </w:r>
      <w:r>
        <w:rPr>
          <w:rStyle w:val="35"/>
        </w:rPr>
        <w:t>附录A（资料性）  质量技术帮扶申请表</w:t>
      </w:r>
      <w:r>
        <w:tab/>
      </w:r>
      <w:r>
        <w:fldChar w:fldCharType="begin"/>
      </w:r>
      <w:r>
        <w:instrText xml:space="preserve"> PAGEREF _Toc228970191 \h </w:instrText>
      </w:r>
      <w:r>
        <w:fldChar w:fldCharType="separate"/>
      </w:r>
      <w:r>
        <w:t>6</w:t>
      </w:r>
      <w:r>
        <w:fldChar w:fldCharType="end"/>
      </w:r>
      <w:r>
        <w:fldChar w:fldCharType="end"/>
      </w:r>
    </w:p>
    <w:p w14:paraId="2D01F26E">
      <w:pPr>
        <w:pStyle w:val="20"/>
        <w:tabs>
          <w:tab w:val="right" w:leader="dot" w:pos="9344"/>
        </w:tabs>
        <w:rPr>
          <w:rFonts w:asciiTheme="minorHAnsi" w:hAnsiTheme="minorHAnsi" w:eastAsiaTheme="minorEastAsia" w:cstheme="minorBidi"/>
          <w:szCs w:val="22"/>
        </w:rPr>
      </w:pPr>
      <w:r>
        <w:fldChar w:fldCharType="begin"/>
      </w:r>
      <w:r>
        <w:instrText xml:space="preserve"> HYPERLINK \l "_Toc228970193" </w:instrText>
      </w:r>
      <w:r>
        <w:fldChar w:fldCharType="separate"/>
      </w:r>
      <w:r>
        <w:rPr>
          <w:rStyle w:val="35"/>
        </w:rPr>
        <w:t>附录B（资料性）  产品质量问题原因分析表</w:t>
      </w:r>
      <w:r>
        <w:tab/>
      </w:r>
      <w:r>
        <w:fldChar w:fldCharType="begin"/>
      </w:r>
      <w:r>
        <w:instrText xml:space="preserve"> PAGEREF _Toc228970193 \h </w:instrText>
      </w:r>
      <w:r>
        <w:fldChar w:fldCharType="separate"/>
      </w:r>
      <w:r>
        <w:t>7</w:t>
      </w:r>
      <w:r>
        <w:fldChar w:fldCharType="end"/>
      </w:r>
      <w:r>
        <w:fldChar w:fldCharType="end"/>
      </w:r>
    </w:p>
    <w:p w14:paraId="3EBE3037">
      <w:pPr>
        <w:pStyle w:val="20"/>
        <w:tabs>
          <w:tab w:val="right" w:leader="dot" w:pos="9344"/>
        </w:tabs>
        <w:rPr>
          <w:rFonts w:asciiTheme="minorHAnsi" w:hAnsiTheme="minorHAnsi" w:eastAsiaTheme="minorEastAsia" w:cstheme="minorBidi"/>
          <w:szCs w:val="22"/>
        </w:rPr>
      </w:pPr>
      <w:r>
        <w:fldChar w:fldCharType="begin"/>
      </w:r>
      <w:r>
        <w:instrText xml:space="preserve"> HYPERLINK \l "_Toc228970194" </w:instrText>
      </w:r>
      <w:r>
        <w:fldChar w:fldCharType="separate"/>
      </w:r>
      <w:r>
        <w:rPr>
          <w:rStyle w:val="35"/>
        </w:rPr>
        <w:t>附录C（资料性）  产品实现各个阶段的常见质量问题及控制建议</w:t>
      </w:r>
      <w:r>
        <w:tab/>
      </w:r>
      <w:r>
        <w:fldChar w:fldCharType="begin"/>
      </w:r>
      <w:r>
        <w:instrText xml:space="preserve"> PAGEREF _Toc228970194 \h </w:instrText>
      </w:r>
      <w:r>
        <w:fldChar w:fldCharType="separate"/>
      </w:r>
      <w:r>
        <w:t>8</w:t>
      </w:r>
      <w:r>
        <w:fldChar w:fldCharType="end"/>
      </w:r>
      <w:r>
        <w:fldChar w:fldCharType="end"/>
      </w:r>
    </w:p>
    <w:p w14:paraId="214C880C">
      <w:pPr>
        <w:pStyle w:val="20"/>
        <w:tabs>
          <w:tab w:val="right" w:leader="dot" w:pos="9344"/>
        </w:tabs>
      </w:pPr>
      <w:r>
        <w:fldChar w:fldCharType="begin"/>
      </w:r>
      <w:r>
        <w:instrText xml:space="preserve"> HYPERLINK \l "_Toc228970197" </w:instrText>
      </w:r>
      <w:r>
        <w:fldChar w:fldCharType="separate"/>
      </w:r>
      <w:r>
        <w:rPr>
          <w:rStyle w:val="35"/>
        </w:rPr>
        <w:t>附录</w:t>
      </w:r>
      <w:r>
        <w:rPr>
          <w:rStyle w:val="35"/>
          <w:rFonts w:hint="eastAsia"/>
        </w:rPr>
        <w:t>D</w:t>
      </w:r>
      <w:r>
        <w:rPr>
          <w:rStyle w:val="35"/>
        </w:rPr>
        <w:t>（资料性）  帮扶</w:t>
      </w:r>
      <w:r>
        <w:rPr>
          <w:rStyle w:val="35"/>
          <w:rFonts w:hint="eastAsia"/>
        </w:rPr>
        <w:t>清单</w:t>
      </w:r>
      <w:r>
        <w:tab/>
      </w:r>
      <w:r>
        <w:fldChar w:fldCharType="begin"/>
      </w:r>
      <w:r>
        <w:instrText xml:space="preserve"> PAGEREF _Toc228970197 \h </w:instrText>
      </w:r>
      <w:r>
        <w:fldChar w:fldCharType="separate"/>
      </w:r>
      <w:r>
        <w:t>11</w:t>
      </w:r>
      <w:r>
        <w:fldChar w:fldCharType="end"/>
      </w:r>
      <w:r>
        <w:fldChar w:fldCharType="end"/>
      </w:r>
    </w:p>
    <w:p w14:paraId="100BF494">
      <w:pPr>
        <w:pStyle w:val="20"/>
        <w:tabs>
          <w:tab w:val="right" w:leader="dot" w:pos="9344"/>
        </w:tabs>
        <w:rPr>
          <w:rFonts w:asciiTheme="minorHAnsi" w:hAnsiTheme="minorHAnsi" w:eastAsiaTheme="minorEastAsia" w:cstheme="minorBidi"/>
          <w:szCs w:val="22"/>
        </w:rPr>
      </w:pPr>
      <w:r>
        <w:fldChar w:fldCharType="begin"/>
      </w:r>
      <w:r>
        <w:instrText xml:space="preserve"> HYPERLINK \l "_Toc228970197" </w:instrText>
      </w:r>
      <w:r>
        <w:fldChar w:fldCharType="separate"/>
      </w:r>
      <w:r>
        <w:rPr>
          <w:rStyle w:val="35"/>
        </w:rPr>
        <w:t>附录E（资料性）  帮扶工作记录表</w:t>
      </w:r>
      <w:r>
        <w:tab/>
      </w:r>
      <w:r>
        <w:fldChar w:fldCharType="begin"/>
      </w:r>
      <w:r>
        <w:instrText xml:space="preserve"> PAGEREF _Toc228970197 \h </w:instrText>
      </w:r>
      <w:r>
        <w:fldChar w:fldCharType="separate"/>
      </w:r>
      <w:r>
        <w:t>16</w:t>
      </w:r>
      <w:r>
        <w:fldChar w:fldCharType="end"/>
      </w:r>
      <w:r>
        <w:fldChar w:fldCharType="end"/>
      </w:r>
    </w:p>
    <w:p w14:paraId="35B2786E">
      <w:pPr>
        <w:pStyle w:val="20"/>
        <w:tabs>
          <w:tab w:val="right" w:leader="dot" w:pos="9344"/>
        </w:tabs>
        <w:rPr>
          <w:rFonts w:asciiTheme="minorHAnsi" w:hAnsiTheme="minorHAnsi" w:eastAsiaTheme="minorEastAsia" w:cstheme="minorBidi"/>
          <w:szCs w:val="22"/>
        </w:rPr>
      </w:pPr>
      <w:r>
        <w:fldChar w:fldCharType="begin"/>
      </w:r>
      <w:r>
        <w:instrText xml:space="preserve"> HYPERLINK \l "_Toc228970199" </w:instrText>
      </w:r>
      <w:r>
        <w:fldChar w:fldCharType="separate"/>
      </w:r>
      <w:r>
        <w:rPr>
          <w:rStyle w:val="35"/>
        </w:rPr>
        <w:t>参考文献</w:t>
      </w:r>
      <w:r>
        <w:tab/>
      </w:r>
      <w:r>
        <w:fldChar w:fldCharType="begin"/>
      </w:r>
      <w:r>
        <w:instrText xml:space="preserve"> PAGEREF _Toc228970199 \h </w:instrText>
      </w:r>
      <w:r>
        <w:fldChar w:fldCharType="separate"/>
      </w:r>
      <w:r>
        <w:t>17</w:t>
      </w:r>
      <w:r>
        <w:fldChar w:fldCharType="end"/>
      </w:r>
      <w:r>
        <w:fldChar w:fldCharType="end"/>
      </w:r>
    </w:p>
    <w:p w14:paraId="1AC2E350">
      <w:pPr>
        <w:pStyle w:val="95"/>
        <w:spacing w:after="360"/>
        <w:sectPr>
          <w:headerReference r:id="rId11" w:type="default"/>
          <w:footerReference r:id="rId13" w:type="default"/>
          <w:headerReference r:id="rId12" w:type="even"/>
          <w:pgSz w:w="11906" w:h="16838"/>
          <w:pgMar w:top="1928" w:right="1134" w:bottom="1134" w:left="1134" w:header="1418" w:footer="1134" w:gutter="284"/>
          <w:pgNumType w:fmt="upperRoman" w:start="1"/>
          <w:cols w:space="425" w:num="1"/>
          <w:formProt w:val="0"/>
          <w:docGrid w:linePitch="312" w:charSpace="0"/>
        </w:sectPr>
      </w:pPr>
      <w:r>
        <w:fldChar w:fldCharType="end"/>
      </w:r>
    </w:p>
    <w:bookmarkEnd w:id="21"/>
    <w:p w14:paraId="41973540">
      <w:pPr>
        <w:pStyle w:val="93"/>
        <w:spacing w:before="560" w:after="360"/>
      </w:pPr>
      <w:bookmarkStart w:id="32" w:name="_Toc228970153"/>
      <w:bookmarkStart w:id="33" w:name="BookMark2"/>
      <w:r>
        <w:rPr>
          <w:rFonts w:hint="eastAsia"/>
          <w:spacing w:val="320"/>
        </w:rPr>
        <w:t>前</w:t>
      </w:r>
      <w:r>
        <w:rPr>
          <w:rFonts w:hint="eastAsia"/>
        </w:rPr>
        <w:t>言</w:t>
      </w:r>
      <w:bookmarkEnd w:id="22"/>
      <w:bookmarkEnd w:id="23"/>
      <w:bookmarkEnd w:id="24"/>
      <w:bookmarkEnd w:id="25"/>
      <w:bookmarkEnd w:id="26"/>
      <w:bookmarkEnd w:id="27"/>
      <w:bookmarkEnd w:id="28"/>
      <w:bookmarkEnd w:id="29"/>
      <w:bookmarkEnd w:id="30"/>
      <w:bookmarkEnd w:id="31"/>
      <w:bookmarkEnd w:id="32"/>
    </w:p>
    <w:p w14:paraId="60E2B323">
      <w:pPr>
        <w:pStyle w:val="60"/>
        <w:ind w:firstLine="420"/>
      </w:pPr>
      <w:r>
        <w:rPr>
          <w:rFonts w:hint="eastAsia"/>
        </w:rPr>
        <w:t>本文件按照GB/T 1.1—2020《标准化工作导则  第1部分：标准化文件的结构和起草规则》的规定起草。</w:t>
      </w:r>
    </w:p>
    <w:p w14:paraId="73FF2C37">
      <w:pPr>
        <w:widowControl/>
        <w:autoSpaceDE w:val="0"/>
        <w:autoSpaceDN w:val="0"/>
        <w:adjustRightInd/>
        <w:spacing w:line="240" w:lineRule="auto"/>
        <w:ind w:firstLine="460" w:firstLineChars="200"/>
        <w:jc w:val="left"/>
        <w:rPr>
          <w:rFonts w:ascii="宋体" w:hAnsi="Times New Roman"/>
          <w:kern w:val="0"/>
        </w:rPr>
      </w:pPr>
      <w:r>
        <w:rPr>
          <w:rFonts w:hint="eastAsia" w:ascii="宋体" w:hAnsi="宋体"/>
          <w:spacing w:val="10"/>
          <w:kern w:val="0"/>
        </w:rPr>
        <w:t>请注意本文件的某些内容可能涉及专利。本文件的发布机构不承担识别专利的责任。</w:t>
      </w:r>
    </w:p>
    <w:p w14:paraId="1F502667">
      <w:pPr>
        <w:widowControl/>
        <w:autoSpaceDE w:val="0"/>
        <w:autoSpaceDN w:val="0"/>
        <w:adjustRightInd/>
        <w:spacing w:line="240" w:lineRule="auto"/>
        <w:ind w:firstLine="460" w:firstLineChars="200"/>
        <w:jc w:val="left"/>
        <w:rPr>
          <w:rFonts w:ascii="宋体" w:hAnsi="宋体"/>
          <w:spacing w:val="10"/>
          <w:kern w:val="0"/>
        </w:rPr>
      </w:pPr>
      <w:r>
        <w:rPr>
          <w:rFonts w:hint="eastAsia" w:ascii="宋体" w:hAnsi="宋体"/>
          <w:spacing w:val="10"/>
          <w:kern w:val="0"/>
        </w:rPr>
        <w:t>本文件由国家市场监督管理总局提</w:t>
      </w:r>
      <w:r>
        <w:rPr>
          <w:rFonts w:hint="eastAsia" w:ascii="宋体" w:hAnsi="宋体"/>
          <w:kern w:val="0"/>
        </w:rPr>
        <w:t>出</w:t>
      </w:r>
      <w:r>
        <w:rPr>
          <w:rFonts w:hint="eastAsia" w:ascii="宋体" w:hAnsi="宋体"/>
          <w:spacing w:val="10"/>
          <w:kern w:val="0"/>
        </w:rPr>
        <w:t>。</w:t>
      </w:r>
    </w:p>
    <w:p w14:paraId="60DE10F6">
      <w:pPr>
        <w:widowControl/>
        <w:autoSpaceDE w:val="0"/>
        <w:autoSpaceDN w:val="0"/>
        <w:adjustRightInd/>
        <w:spacing w:line="240" w:lineRule="auto"/>
        <w:ind w:firstLine="460" w:firstLineChars="200"/>
        <w:jc w:val="left"/>
        <w:rPr>
          <w:rFonts w:ascii="宋体" w:hAnsi="宋体"/>
          <w:spacing w:val="10"/>
          <w:kern w:val="0"/>
        </w:rPr>
      </w:pPr>
      <w:r>
        <w:rPr>
          <w:rFonts w:hint="eastAsia" w:ascii="宋体" w:hAnsi="宋体"/>
          <w:spacing w:val="10"/>
          <w:kern w:val="0"/>
        </w:rPr>
        <w:t>本文件由</w:t>
      </w:r>
      <w:r>
        <w:rPr>
          <w:rFonts w:hint="eastAsia"/>
        </w:rPr>
        <w:t>市场监管行业标准化专业技术委员会</w:t>
      </w:r>
      <w:r>
        <w:rPr>
          <w:rFonts w:hint="eastAsia" w:ascii="宋体" w:hAnsi="宋体"/>
          <w:kern w:val="0"/>
        </w:rPr>
        <w:t>归口</w:t>
      </w:r>
      <w:r>
        <w:rPr>
          <w:rFonts w:hint="eastAsia" w:ascii="宋体" w:hAnsi="宋体"/>
          <w:spacing w:val="10"/>
          <w:kern w:val="0"/>
        </w:rPr>
        <w:t>。</w:t>
      </w:r>
    </w:p>
    <w:p w14:paraId="423D9B83">
      <w:pPr>
        <w:pStyle w:val="60"/>
        <w:ind w:firstLine="420"/>
      </w:pPr>
      <w:r>
        <w:rPr>
          <w:rFonts w:hint="eastAsia" w:ascii="宋体" w:hAnsi="宋体"/>
        </w:rPr>
        <w:t>本文件起草单位：</w:t>
      </w:r>
      <w:r>
        <w:rPr>
          <w:rFonts w:hint="eastAsia" w:ascii="宋体" w:hAnsi="宋体"/>
          <w:spacing w:val="10"/>
        </w:rPr>
        <w:t>厦门市市场监督管理局、厦门市标准化研究院、福建东南标准认证中心有限公司</w:t>
      </w:r>
      <w:r>
        <w:rPr>
          <w:rFonts w:hint="eastAsia" w:ascii="宋体" w:hAnsi="宋体"/>
          <w:spacing w:val="10"/>
          <w:szCs w:val="21"/>
        </w:rPr>
        <w:t>、</w:t>
      </w:r>
      <w:r>
        <w:rPr>
          <w:rFonts w:hint="eastAsia" w:ascii="宋体" w:hAnsi="宋体"/>
        </w:rPr>
        <w:t>福建省市场监督管理局、广东省市场监督管理局、浙江省市场监督管理局、湖南省市场监督管理局、山东省市场监督管理局、四川省市场监督管理局、内蒙古自治区市场监督管理局。</w:t>
      </w:r>
    </w:p>
    <w:p w14:paraId="5083CAE1">
      <w:pPr>
        <w:pStyle w:val="60"/>
        <w:ind w:firstLine="420"/>
      </w:pPr>
      <w:r>
        <w:rPr>
          <w:rFonts w:hint="eastAsia"/>
        </w:rPr>
        <w:t>本文件主要起草人：</w:t>
      </w:r>
    </w:p>
    <w:p w14:paraId="6B0AEEDB">
      <w:pPr>
        <w:pStyle w:val="60"/>
        <w:ind w:firstLine="420"/>
        <w:sectPr>
          <w:pgSz w:w="11906" w:h="16838"/>
          <w:pgMar w:top="1928" w:right="1134" w:bottom="1134" w:left="1134" w:header="1418" w:footer="1134" w:gutter="284"/>
          <w:pgNumType w:fmt="upperRoman"/>
          <w:cols w:space="425" w:num="1"/>
          <w:formProt w:val="0"/>
          <w:docGrid w:linePitch="312" w:charSpace="0"/>
        </w:sectPr>
      </w:pPr>
    </w:p>
    <w:bookmarkEnd w:id="33"/>
    <w:p w14:paraId="2160B622">
      <w:pPr>
        <w:spacing w:line="20" w:lineRule="exact"/>
        <w:jc w:val="center"/>
        <w:rPr>
          <w:rFonts w:ascii="黑体" w:hAnsi="黑体" w:eastAsia="黑体"/>
          <w:sz w:val="32"/>
          <w:szCs w:val="32"/>
        </w:rPr>
      </w:pPr>
      <w:bookmarkStart w:id="34" w:name="BookMark4"/>
    </w:p>
    <w:p w14:paraId="163804BB">
      <w:pPr>
        <w:spacing w:line="20" w:lineRule="exact"/>
        <w:jc w:val="center"/>
        <w:rPr>
          <w:rFonts w:ascii="黑体" w:hAnsi="黑体" w:eastAsia="黑体"/>
          <w:sz w:val="32"/>
          <w:szCs w:val="32"/>
        </w:rPr>
      </w:pPr>
    </w:p>
    <w:sdt>
      <w:sdtPr>
        <w:tag w:val="NEW_STAND_NAME"/>
        <w:id w:val="595910757"/>
        <w:lock w:val="sdtLocked"/>
        <w:placeholder>
          <w:docPart w:val="77F83BF1019F4157A86D4873F3C8DC86"/>
        </w:placeholder>
      </w:sdtPr>
      <w:sdtContent>
        <w:p w14:paraId="7E1A2D42">
          <w:pPr>
            <w:pStyle w:val="181"/>
            <w:spacing w:before="2" w:beforeLines="1" w:after="528" w:afterLines="220"/>
          </w:pPr>
          <w:bookmarkStart w:id="35" w:name="NEW_STAND_NAME"/>
          <w:r>
            <w:rPr>
              <w:rFonts w:hint="eastAsia"/>
            </w:rPr>
            <w:t>工业产品质量技术帮扶和质量安全监管联动工作指南</w:t>
          </w:r>
        </w:p>
      </w:sdtContent>
    </w:sdt>
    <w:bookmarkEnd w:id="35"/>
    <w:p w14:paraId="4D472713">
      <w:pPr>
        <w:pStyle w:val="108"/>
        <w:spacing w:before="240" w:after="240"/>
      </w:pPr>
      <w:bookmarkStart w:id="36" w:name="_Toc225243328"/>
      <w:bookmarkStart w:id="37" w:name="_Toc208503930"/>
      <w:bookmarkStart w:id="38" w:name="_Toc221540511"/>
      <w:bookmarkStart w:id="39" w:name="_Toc26718930"/>
      <w:bookmarkStart w:id="40" w:name="_Toc228970154"/>
      <w:bookmarkStart w:id="41" w:name="_Toc24884211"/>
      <w:bookmarkStart w:id="42" w:name="_Toc17233325"/>
      <w:bookmarkStart w:id="43" w:name="_Toc208503901"/>
      <w:bookmarkStart w:id="44" w:name="_Toc24884218"/>
      <w:bookmarkStart w:id="45" w:name="_Toc214287529"/>
      <w:bookmarkStart w:id="46" w:name="_Toc26986530"/>
      <w:bookmarkStart w:id="47" w:name="_Toc17233333"/>
      <w:bookmarkStart w:id="48" w:name="_Toc26648465"/>
      <w:bookmarkStart w:id="49" w:name="_Toc228969770"/>
      <w:bookmarkStart w:id="50" w:name="_Toc208504818"/>
      <w:bookmarkStart w:id="51" w:name="_Toc225243725"/>
      <w:bookmarkStart w:id="52" w:name="_Toc97195091"/>
      <w:bookmarkStart w:id="53" w:name="_Toc26986771"/>
      <w:bookmarkStart w:id="54" w:name="_Toc228970006"/>
      <w:bookmarkStart w:id="55" w:name="_Toc228969888"/>
      <w:r>
        <w:rPr>
          <w:rFonts w:hint="eastAsia"/>
        </w:rPr>
        <w:t>范围</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3DB2E589">
      <w:pPr>
        <w:pStyle w:val="60"/>
        <w:ind w:firstLine="420"/>
      </w:pPr>
      <w:bookmarkStart w:id="56" w:name="_Toc26648466"/>
      <w:bookmarkStart w:id="57" w:name="_Toc24884212"/>
      <w:bookmarkStart w:id="58" w:name="_Toc24884219"/>
      <w:bookmarkStart w:id="59" w:name="_Toc17233334"/>
      <w:bookmarkStart w:id="60" w:name="_Toc17233326"/>
      <w:r>
        <w:rPr>
          <w:rFonts w:hint="eastAsia"/>
        </w:rPr>
        <w:t>本文件给出了工业产品质量技术帮扶（以下简称帮扶）和质量安全监管（以下简称监管）联动工作的基本原则，提供了帮扶方式、工作程序和成果应用的指导和建议。</w:t>
      </w:r>
    </w:p>
    <w:p w14:paraId="131C8640">
      <w:pPr>
        <w:pStyle w:val="60"/>
        <w:ind w:firstLine="420"/>
      </w:pPr>
      <w:r>
        <w:rPr>
          <w:rFonts w:hint="eastAsia"/>
          <w:snapToGrid w:val="0"/>
        </w:rPr>
        <w:t>本文件</w:t>
      </w:r>
      <w:r>
        <w:t>适用于对工业产品经营主体</w:t>
      </w:r>
      <w:r>
        <w:rPr>
          <w:rFonts w:hint="eastAsia"/>
        </w:rPr>
        <w:t>（以下简称经营主体）</w:t>
      </w:r>
      <w:r>
        <w:t>开展帮扶和监管联动工作，经营主体开展自查自纠活动时参照执行</w:t>
      </w:r>
      <w:r>
        <w:rPr>
          <w:rFonts w:hint="eastAsia"/>
        </w:rPr>
        <w:t>。</w:t>
      </w:r>
    </w:p>
    <w:p w14:paraId="4856F1AF">
      <w:pPr>
        <w:pStyle w:val="108"/>
        <w:spacing w:before="240" w:after="240"/>
      </w:pPr>
      <w:bookmarkStart w:id="61" w:name="_Toc26986772"/>
      <w:bookmarkStart w:id="62" w:name="_Toc208503902"/>
      <w:bookmarkStart w:id="63" w:name="_Toc225243329"/>
      <w:bookmarkStart w:id="64" w:name="_Toc228969771"/>
      <w:bookmarkStart w:id="65" w:name="_Toc221540512"/>
      <w:bookmarkStart w:id="66" w:name="_Toc228969889"/>
      <w:bookmarkStart w:id="67" w:name="_Toc214287530"/>
      <w:bookmarkStart w:id="68" w:name="_Toc208503931"/>
      <w:bookmarkStart w:id="69" w:name="_Toc228970155"/>
      <w:bookmarkStart w:id="70" w:name="_Toc208504819"/>
      <w:bookmarkStart w:id="71" w:name="_Toc26718931"/>
      <w:bookmarkStart w:id="72" w:name="_Toc26986531"/>
      <w:bookmarkStart w:id="73" w:name="_Toc228970007"/>
      <w:bookmarkStart w:id="74" w:name="_Toc225243726"/>
      <w:bookmarkStart w:id="75" w:name="_Toc97195092"/>
      <w:r>
        <w:rPr>
          <w:rFonts w:hint="eastAsia"/>
        </w:rPr>
        <w:t>规范性引用文件</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sdt>
      <w:sdtPr>
        <w:rPr>
          <w:rFonts w:hint="eastAsia"/>
        </w:rPr>
        <w:id w:val="715848253"/>
        <w:placeholder>
          <w:docPart w:val="AD8D2FE330E34ECE935F1EED3F9DAEB8"/>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4A829566">
          <w:pPr>
            <w:pStyle w:val="60"/>
            <w:ind w:firstLine="420"/>
          </w:pPr>
          <w:r>
            <w:rPr>
              <w:rFonts w:hint="eastAsia"/>
            </w:rPr>
            <w:t>本文件没有规范性引用文件。</w:t>
          </w:r>
        </w:p>
      </w:sdtContent>
    </w:sdt>
    <w:p w14:paraId="0EAA4732">
      <w:pPr>
        <w:pStyle w:val="108"/>
        <w:spacing w:before="240" w:after="240"/>
      </w:pPr>
      <w:bookmarkStart w:id="76" w:name="_Toc97195093"/>
      <w:bookmarkStart w:id="77" w:name="_Toc228970008"/>
      <w:bookmarkStart w:id="78" w:name="_Toc225243727"/>
      <w:bookmarkStart w:id="79" w:name="_Toc228970156"/>
      <w:bookmarkStart w:id="80" w:name="_Toc208503932"/>
      <w:bookmarkStart w:id="81" w:name="_Toc228969890"/>
      <w:bookmarkStart w:id="82" w:name="_Toc225243330"/>
      <w:bookmarkStart w:id="83" w:name="_Toc208503903"/>
      <w:bookmarkStart w:id="84" w:name="_Toc208504820"/>
      <w:bookmarkStart w:id="85" w:name="_Toc228969772"/>
      <w:bookmarkStart w:id="86" w:name="_Toc221540513"/>
      <w:bookmarkStart w:id="87" w:name="_Toc214287531"/>
      <w:r>
        <w:rPr>
          <w:rFonts w:hint="eastAsia"/>
          <w:szCs w:val="21"/>
        </w:rPr>
        <w:t>术语和定义</w:t>
      </w:r>
      <w:bookmarkEnd w:id="76"/>
      <w:bookmarkEnd w:id="77"/>
      <w:bookmarkEnd w:id="78"/>
      <w:bookmarkEnd w:id="79"/>
      <w:bookmarkEnd w:id="80"/>
      <w:bookmarkEnd w:id="81"/>
      <w:bookmarkEnd w:id="82"/>
      <w:bookmarkEnd w:id="83"/>
      <w:bookmarkEnd w:id="84"/>
      <w:bookmarkEnd w:id="85"/>
      <w:bookmarkEnd w:id="86"/>
      <w:bookmarkEnd w:id="87"/>
    </w:p>
    <w:sdt>
      <w:sdtPr>
        <w:id w:val="-1"/>
        <w:placeholder>
          <w:docPart w:val="61D3D008F9114E2F92E0B55DB5717D11"/>
        </w:placeholder>
        <w:comboBox>
          <w:listItem w:displayText="点击并选择适当的引导语" w:value="点击并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3579F42D">
          <w:pPr>
            <w:pStyle w:val="60"/>
            <w:ind w:firstLine="420"/>
          </w:pPr>
          <w:bookmarkStart w:id="88" w:name="_Toc26986532"/>
          <w:bookmarkEnd w:id="88"/>
          <w:r>
            <w:t>下列术语和定义适用于本文件。</w:t>
          </w:r>
        </w:p>
      </w:sdtContent>
    </w:sdt>
    <w:p w14:paraId="67683FFE">
      <w:pPr>
        <w:pStyle w:val="227"/>
        <w:ind w:left="420" w:hanging="420" w:hangingChars="200"/>
        <w:rPr>
          <w:rFonts w:ascii="黑体" w:hAnsi="黑体" w:eastAsia="黑体"/>
        </w:rPr>
      </w:pPr>
      <w:r>
        <w:rPr>
          <w:rFonts w:ascii="黑体" w:hAnsi="黑体" w:eastAsia="黑体"/>
        </w:rPr>
        <w:t>3.1</w:t>
      </w:r>
      <w:r>
        <w:rPr>
          <w:rFonts w:ascii="黑体" w:hAnsi="黑体" w:eastAsia="黑体"/>
        </w:rPr>
        <w:br w:type="textWrapping"/>
      </w:r>
      <w:r>
        <w:rPr>
          <w:rFonts w:hint="eastAsia" w:ascii="黑体" w:hAnsi="黑体" w:eastAsia="黑体"/>
        </w:rPr>
        <w:t>工业产品</w:t>
      </w:r>
      <w:r>
        <w:rPr>
          <w:rFonts w:ascii="黑体" w:hAnsi="黑体" w:eastAsia="黑体"/>
        </w:rPr>
        <w:t xml:space="preserve">  industrial product</w:t>
      </w:r>
    </w:p>
    <w:p w14:paraId="256BE3E5">
      <w:pPr>
        <w:pStyle w:val="60"/>
        <w:ind w:firstLine="420"/>
      </w:pPr>
      <w:r>
        <w:rPr>
          <w:rFonts w:hint="eastAsia"/>
        </w:rPr>
        <w:t>经过工业化过程加工、制作，且用于销售的产品。</w:t>
      </w:r>
    </w:p>
    <w:p w14:paraId="37127BE5">
      <w:pPr>
        <w:pStyle w:val="183"/>
      </w:pPr>
      <w:r>
        <w:rPr>
          <w:rFonts w:hint="eastAsia"/>
        </w:rPr>
        <w:t>不包括食品、药品、特种设备以及有特别法管理的产品。</w:t>
      </w:r>
    </w:p>
    <w:p w14:paraId="1F0D22CF">
      <w:pPr>
        <w:pStyle w:val="227"/>
        <w:ind w:left="420" w:hanging="420" w:hangingChars="200"/>
        <w:rPr>
          <w:rFonts w:ascii="黑体" w:hAnsi="黑体" w:eastAsia="黑体"/>
        </w:rPr>
      </w:pPr>
      <w:r>
        <w:rPr>
          <w:rFonts w:ascii="黑体" w:hAnsi="黑体" w:eastAsia="黑体"/>
        </w:rPr>
        <w:t>3.2</w:t>
      </w:r>
      <w:r>
        <w:rPr>
          <w:rFonts w:ascii="黑体" w:hAnsi="黑体" w:eastAsia="黑体"/>
        </w:rPr>
        <w:br w:type="textWrapping"/>
      </w:r>
      <w:r>
        <w:rPr>
          <w:rFonts w:hint="eastAsia" w:ascii="黑体" w:hAnsi="黑体" w:eastAsia="黑体"/>
        </w:rPr>
        <w:t>质量安全监管</w:t>
      </w:r>
      <w:r>
        <w:rPr>
          <w:rFonts w:ascii="黑体" w:hAnsi="黑体" w:eastAsia="黑体"/>
        </w:rPr>
        <w:t xml:space="preserve">  quality and safety supervision of industrial product</w:t>
      </w:r>
    </w:p>
    <w:p w14:paraId="55FD2E8C">
      <w:pPr>
        <w:pStyle w:val="60"/>
        <w:ind w:firstLine="420"/>
      </w:pPr>
      <w:r>
        <w:t>对工业产品实施生产许可、监督抽查、风险监测、现场检查等</w:t>
      </w:r>
      <w:r>
        <w:rPr>
          <w:rFonts w:hint="eastAsia"/>
        </w:rPr>
        <w:t>监督管理措施。</w:t>
      </w:r>
    </w:p>
    <w:p w14:paraId="3EB6CF08">
      <w:pPr>
        <w:pStyle w:val="227"/>
        <w:ind w:left="420" w:hanging="420" w:hangingChars="200"/>
        <w:rPr>
          <w:rFonts w:ascii="黑体" w:hAnsi="黑体" w:eastAsia="黑体"/>
        </w:rPr>
      </w:pPr>
      <w:r>
        <w:rPr>
          <w:rFonts w:ascii="黑体" w:hAnsi="黑体" w:eastAsia="黑体"/>
        </w:rPr>
        <w:t>3.3</w:t>
      </w:r>
      <w:r>
        <w:rPr>
          <w:rFonts w:ascii="黑体" w:hAnsi="黑体" w:eastAsia="黑体"/>
        </w:rPr>
        <w:br w:type="textWrapping"/>
      </w:r>
      <w:r>
        <w:rPr>
          <w:rFonts w:hint="eastAsia" w:ascii="黑体" w:hAnsi="黑体" w:eastAsia="黑体"/>
        </w:rPr>
        <w:t>质量技术帮扶</w:t>
      </w:r>
      <w:r>
        <w:rPr>
          <w:rFonts w:ascii="黑体" w:hAnsi="黑体" w:eastAsia="黑体"/>
        </w:rPr>
        <w:t xml:space="preserve">  quality and technical assistance</w:t>
      </w:r>
    </w:p>
    <w:p w14:paraId="06314C7D">
      <w:pPr>
        <w:pStyle w:val="60"/>
        <w:ind w:firstLine="420"/>
      </w:pPr>
      <w:r>
        <w:rPr>
          <w:rFonts w:hint="eastAsia"/>
        </w:rPr>
        <w:t>针对质量安全监管发现的质量问题或经营主体主动提出的质量问题或质量需求，采取质量问诊、质量分析、质量培训、质量改善、质量文化建设等帮扶措施，查找问题原因、指导经营主体制定和落实改进措施、建立健全质量管控体系等提升产品质量的活动。</w:t>
      </w:r>
    </w:p>
    <w:p w14:paraId="2C4FFE13">
      <w:pPr>
        <w:pStyle w:val="108"/>
        <w:spacing w:before="240" w:after="240"/>
      </w:pPr>
      <w:bookmarkStart w:id="89" w:name="_Toc228969773"/>
      <w:bookmarkStart w:id="90" w:name="_Toc228969891"/>
      <w:bookmarkStart w:id="91" w:name="_Toc228970009"/>
      <w:bookmarkStart w:id="92" w:name="_Toc228970157"/>
      <w:r>
        <w:rPr>
          <w:rFonts w:hint="eastAsia"/>
        </w:rPr>
        <w:t>基本原则</w:t>
      </w:r>
      <w:bookmarkEnd w:id="89"/>
      <w:bookmarkEnd w:id="90"/>
      <w:bookmarkEnd w:id="91"/>
      <w:bookmarkEnd w:id="92"/>
    </w:p>
    <w:p w14:paraId="13D2EE41">
      <w:pPr>
        <w:pStyle w:val="109"/>
        <w:spacing w:before="120" w:after="120"/>
        <w:rPr>
          <w:rFonts w:ascii="Segoe UI" w:hAnsi="Segoe UI"/>
        </w:rPr>
      </w:pPr>
      <w:bookmarkStart w:id="93" w:name="_Toc208503905"/>
      <w:r>
        <w:rPr>
          <w:rFonts w:hint="eastAsia"/>
        </w:rPr>
        <w:t>问题导向</w:t>
      </w:r>
      <w:bookmarkEnd w:id="93"/>
    </w:p>
    <w:p w14:paraId="1E0AF4CE">
      <w:pPr>
        <w:pStyle w:val="60"/>
        <w:ind w:firstLine="420"/>
        <w:rPr>
          <w:rFonts w:ascii="宋体" w:hAnsi="宋体" w:cs="宋体"/>
        </w:rPr>
      </w:pPr>
      <w:r>
        <w:rPr>
          <w:rFonts w:hint="eastAsia"/>
        </w:rPr>
        <w:t>通过</w:t>
      </w:r>
      <w:r>
        <w:rPr>
          <w:rFonts w:hint="eastAsia" w:ascii="宋体" w:hAnsi="宋体" w:cs="宋体"/>
        </w:rPr>
        <w:t>监管措施发现、识别和界定产品及行业存在的质量问题，将此作为启动联动工作的依据。</w:t>
      </w:r>
    </w:p>
    <w:p w14:paraId="2A7EAAED">
      <w:pPr>
        <w:pStyle w:val="109"/>
        <w:spacing w:before="120" w:after="120"/>
        <w:rPr>
          <w:rFonts w:cs="Arial"/>
          <w:b/>
          <w:bCs/>
          <w:szCs w:val="21"/>
        </w:rPr>
      </w:pPr>
      <w:r>
        <w:rPr>
          <w:rFonts w:hint="eastAsia" w:cs="Arial"/>
          <w:szCs w:val="21"/>
        </w:rPr>
        <w:t>需求触发</w:t>
      </w:r>
    </w:p>
    <w:p w14:paraId="58700C28">
      <w:pPr>
        <w:pStyle w:val="60"/>
        <w:ind w:firstLine="420"/>
      </w:pPr>
      <w:r>
        <w:rPr>
          <w:rFonts w:hint="eastAsia"/>
        </w:rPr>
        <w:t>以经营主体</w:t>
      </w:r>
      <w:r>
        <w:rPr>
          <w:rStyle w:val="32"/>
          <w:rFonts w:hint="eastAsia" w:ascii="Arial" w:hAnsi="Arial" w:cs="Arial"/>
          <w:b w:val="0"/>
          <w:bCs w:val="0"/>
          <w:kern w:val="2"/>
          <w:szCs w:val="21"/>
        </w:rPr>
        <w:t>自愿提出</w:t>
      </w:r>
      <w:r>
        <w:rPr>
          <w:rFonts w:hint="eastAsia"/>
        </w:rPr>
        <w:t>的质量技术帮扶需求为依据，</w:t>
      </w:r>
      <w:r>
        <w:rPr>
          <w:rFonts w:hint="eastAsia" w:ascii="Arial" w:hAnsi="Arial" w:cs="Arial"/>
        </w:rPr>
        <w:t>按需响应符合受理条件的帮扶诉求，</w:t>
      </w:r>
      <w:r>
        <w:rPr>
          <w:rFonts w:hint="eastAsia"/>
        </w:rPr>
        <w:t>作为联动工作的重要触发路径。</w:t>
      </w:r>
    </w:p>
    <w:p w14:paraId="58E49D2D">
      <w:pPr>
        <w:pStyle w:val="109"/>
        <w:spacing w:before="120" w:after="120"/>
        <w:rPr>
          <w:rFonts w:ascii="Segoe UI" w:hAnsi="Segoe UI"/>
        </w:rPr>
      </w:pPr>
      <w:bookmarkStart w:id="94" w:name="_Toc208503906"/>
      <w:r>
        <w:rPr>
          <w:rFonts w:hint="eastAsia"/>
        </w:rPr>
        <w:t>联动协同</w:t>
      </w:r>
      <w:bookmarkEnd w:id="94"/>
    </w:p>
    <w:p w14:paraId="556EA5C2">
      <w:pPr>
        <w:pStyle w:val="60"/>
        <w:ind w:firstLine="420"/>
      </w:pPr>
      <w:r>
        <w:rPr>
          <w:rFonts w:hint="eastAsia"/>
        </w:rPr>
        <w:t>通过监管识别质量问题、明确帮扶重点，开展针对性帮扶解决质量问题；将帮扶成效与监管联动、提升监管有效性，实现监管与帮扶双向联动、协同赋能。</w:t>
      </w:r>
    </w:p>
    <w:p w14:paraId="10D9D839">
      <w:pPr>
        <w:pStyle w:val="109"/>
        <w:spacing w:before="120" w:after="120"/>
        <w:rPr>
          <w:rFonts w:ascii="Segoe UI" w:hAnsi="Segoe UI"/>
        </w:rPr>
      </w:pPr>
      <w:r>
        <w:rPr>
          <w:rFonts w:hint="eastAsia"/>
        </w:rPr>
        <w:t>持续改进</w:t>
      </w:r>
    </w:p>
    <w:p w14:paraId="1048C6E5">
      <w:pPr>
        <w:pStyle w:val="60"/>
        <w:ind w:firstLine="420"/>
      </w:pPr>
      <w:r>
        <w:rPr>
          <w:rFonts w:hint="eastAsia"/>
        </w:rPr>
        <w:t>将</w:t>
      </w:r>
      <w:r>
        <w:t>PDCA</w:t>
      </w:r>
      <w:r>
        <w:rPr>
          <w:rFonts w:hint="eastAsia"/>
        </w:rPr>
        <w:t>闭环管理方法贯穿联动工作全过程，构建“监管发现问题—帮扶解决问题—工作经验反馈</w:t>
      </w:r>
      <w:r>
        <w:t>—</w:t>
      </w:r>
      <w:r>
        <w:rPr>
          <w:rFonts w:hint="eastAsia"/>
        </w:rPr>
        <w:t>质量效能提升”的</w:t>
      </w:r>
      <w:r>
        <w:t>PDCA</w:t>
      </w:r>
      <w:r>
        <w:rPr>
          <w:rFonts w:hint="eastAsia"/>
        </w:rPr>
        <w:t>闭环管理体系，实现持续改进。</w:t>
      </w:r>
    </w:p>
    <w:p w14:paraId="5302FDE8">
      <w:pPr>
        <w:pStyle w:val="183"/>
      </w:pPr>
      <w:r>
        <w:rPr>
          <w:rFonts w:hint="eastAsia"/>
        </w:rPr>
        <w:t>PDCA是常用的闭环管理方法，全称为Plan（计划）、Do（执行）、Check（检查）、Act（处理）。</w:t>
      </w:r>
    </w:p>
    <w:p w14:paraId="7A07297B">
      <w:pPr>
        <w:pStyle w:val="108"/>
        <w:spacing w:before="240" w:after="240"/>
        <w:rPr>
          <w:rFonts w:ascii="Arial" w:hAnsi="Arial" w:cs="Arial"/>
          <w:sz w:val="24"/>
          <w:szCs w:val="24"/>
        </w:rPr>
      </w:pPr>
      <w:bookmarkStart w:id="95" w:name="_Toc228969779"/>
      <w:bookmarkEnd w:id="95"/>
      <w:bookmarkStart w:id="96" w:name="_Toc228970011"/>
      <w:bookmarkEnd w:id="96"/>
      <w:bookmarkStart w:id="97" w:name="_Toc228969894"/>
      <w:bookmarkEnd w:id="97"/>
      <w:bookmarkStart w:id="98" w:name="_Toc228969897"/>
      <w:bookmarkEnd w:id="98"/>
      <w:bookmarkStart w:id="99" w:name="_Toc228969892"/>
      <w:bookmarkEnd w:id="99"/>
      <w:bookmarkStart w:id="100" w:name="_Toc225243733"/>
      <w:bookmarkEnd w:id="100"/>
      <w:bookmarkStart w:id="101" w:name="_Toc228969774"/>
      <w:bookmarkEnd w:id="101"/>
      <w:bookmarkStart w:id="102" w:name="_Toc228969776"/>
      <w:bookmarkEnd w:id="102"/>
      <w:bookmarkStart w:id="103" w:name="_Toc228970013"/>
      <w:bookmarkEnd w:id="103"/>
      <w:bookmarkStart w:id="104" w:name="_Toc228970163"/>
      <w:bookmarkEnd w:id="104"/>
      <w:bookmarkStart w:id="105" w:name="_Toc228970014"/>
      <w:bookmarkEnd w:id="105"/>
      <w:bookmarkStart w:id="106" w:name="_Toc228969778"/>
      <w:bookmarkEnd w:id="106"/>
      <w:bookmarkStart w:id="107" w:name="_Toc228969895"/>
      <w:bookmarkEnd w:id="107"/>
      <w:bookmarkStart w:id="108" w:name="_Toc228970012"/>
      <w:bookmarkEnd w:id="108"/>
      <w:bookmarkStart w:id="109" w:name="_Toc228969896"/>
      <w:bookmarkEnd w:id="109"/>
      <w:bookmarkStart w:id="110" w:name="_Toc228970015"/>
      <w:bookmarkEnd w:id="110"/>
      <w:bookmarkStart w:id="111" w:name="_Toc228969777"/>
      <w:bookmarkEnd w:id="111"/>
      <w:bookmarkStart w:id="112" w:name="_Toc225243734"/>
      <w:bookmarkEnd w:id="112"/>
      <w:bookmarkStart w:id="113" w:name="_Toc225243736"/>
      <w:bookmarkEnd w:id="113"/>
      <w:bookmarkStart w:id="114" w:name="_Toc228969893"/>
      <w:bookmarkEnd w:id="114"/>
      <w:bookmarkStart w:id="115" w:name="_Toc228969775"/>
      <w:bookmarkEnd w:id="115"/>
      <w:bookmarkStart w:id="116" w:name="_Toc228970010"/>
      <w:bookmarkEnd w:id="116"/>
      <w:bookmarkStart w:id="117" w:name="_Toc221540516"/>
      <w:bookmarkStart w:id="118" w:name="_Toc208503908"/>
      <w:bookmarkStart w:id="119" w:name="_Toc225243737"/>
      <w:bookmarkStart w:id="120" w:name="_Toc214287533"/>
      <w:bookmarkStart w:id="121" w:name="_Toc225243333"/>
      <w:bookmarkStart w:id="122" w:name="_Toc208503934"/>
      <w:bookmarkStart w:id="123" w:name="_Toc208504822"/>
      <w:bookmarkStart w:id="124" w:name="_Toc228969780"/>
      <w:bookmarkStart w:id="125" w:name="_Toc228970016"/>
      <w:bookmarkStart w:id="126" w:name="_Toc228969898"/>
      <w:bookmarkStart w:id="127" w:name="_Toc228970164"/>
      <w:r>
        <w:rPr>
          <w:rFonts w:hint="eastAsia"/>
        </w:rPr>
        <w:t>帮扶</w:t>
      </w:r>
      <w:bookmarkEnd w:id="117"/>
      <w:bookmarkEnd w:id="118"/>
      <w:bookmarkEnd w:id="119"/>
      <w:bookmarkEnd w:id="120"/>
      <w:bookmarkEnd w:id="121"/>
      <w:bookmarkEnd w:id="122"/>
      <w:bookmarkEnd w:id="123"/>
      <w:r>
        <w:rPr>
          <w:rFonts w:hint="eastAsia"/>
        </w:rPr>
        <w:t>对象和类型</w:t>
      </w:r>
      <w:bookmarkEnd w:id="124"/>
      <w:bookmarkEnd w:id="125"/>
      <w:bookmarkEnd w:id="126"/>
      <w:bookmarkEnd w:id="127"/>
      <w:bookmarkStart w:id="128" w:name="_Toc228969782"/>
      <w:bookmarkEnd w:id="128"/>
      <w:bookmarkStart w:id="129" w:name="_Toc228969900"/>
      <w:bookmarkEnd w:id="129"/>
      <w:bookmarkStart w:id="130" w:name="_Toc228970017"/>
      <w:bookmarkEnd w:id="130"/>
      <w:bookmarkStart w:id="131" w:name="_Toc228970018"/>
      <w:bookmarkEnd w:id="131"/>
      <w:bookmarkStart w:id="132" w:name="_Toc228969899"/>
      <w:bookmarkEnd w:id="132"/>
      <w:bookmarkStart w:id="133" w:name="_Toc228969781"/>
      <w:bookmarkEnd w:id="133"/>
    </w:p>
    <w:p w14:paraId="7FCF4AE4">
      <w:pPr>
        <w:pStyle w:val="166"/>
        <w:rPr>
          <w:bCs/>
          <w:snapToGrid w:val="0"/>
        </w:rPr>
      </w:pPr>
      <w:r>
        <w:rPr>
          <w:rFonts w:ascii="黑体" w:hAnsi="黑体" w:eastAsia="黑体"/>
          <w:snapToGrid w:val="0"/>
        </w:rPr>
        <w:t xml:space="preserve">5.1 </w:t>
      </w:r>
      <w:r>
        <w:rPr>
          <w:rFonts w:hint="eastAsia"/>
          <w:snapToGrid w:val="0"/>
        </w:rPr>
        <w:t>经营主体帮扶。针对单个经营主体开展精准帮扶，解决个性化质量问题。</w:t>
      </w:r>
    </w:p>
    <w:p w14:paraId="4E790CBB">
      <w:pPr>
        <w:pStyle w:val="166"/>
        <w:rPr>
          <w:bCs/>
          <w:snapToGrid w:val="0"/>
        </w:rPr>
      </w:pPr>
      <w:r>
        <w:rPr>
          <w:rFonts w:ascii="黑体" w:hAnsi="黑体" w:eastAsia="黑体"/>
          <w:snapToGrid w:val="0"/>
        </w:rPr>
        <w:t xml:space="preserve">5.2 </w:t>
      </w:r>
      <w:r>
        <w:rPr>
          <w:rFonts w:hint="eastAsia"/>
          <w:snapToGrid w:val="0"/>
        </w:rPr>
        <w:t>小微与初创经营主体培育。针对</w:t>
      </w:r>
      <w:r>
        <w:rPr>
          <w:rFonts w:hint="eastAsia"/>
          <w:bCs/>
          <w:snapToGrid w:val="0"/>
        </w:rPr>
        <w:t>小微企业、初创经营主体开展质量基础能力培育，帮助其建立健全质量管理体系。</w:t>
      </w:r>
    </w:p>
    <w:p w14:paraId="795FE876">
      <w:pPr>
        <w:pStyle w:val="166"/>
        <w:rPr>
          <w:snapToGrid w:val="0"/>
        </w:rPr>
      </w:pPr>
      <w:r>
        <w:rPr>
          <w:rFonts w:ascii="黑体" w:hAnsi="黑体" w:eastAsia="黑体"/>
          <w:bCs/>
          <w:snapToGrid w:val="0"/>
        </w:rPr>
        <w:t xml:space="preserve">5.3 </w:t>
      </w:r>
      <w:r>
        <w:rPr>
          <w:rFonts w:hint="eastAsia"/>
          <w:snapToGrid w:val="0"/>
        </w:rPr>
        <w:t>新业态前置帮扶。针对新业态、新产品提供前置质量指导与合</w:t>
      </w:r>
      <w:r>
        <w:rPr>
          <w:rFonts w:hint="eastAsia"/>
          <w:bCs/>
          <w:snapToGrid w:val="0"/>
        </w:rPr>
        <w:t>规服务，防控研发及生产环节质量安全风险。</w:t>
      </w:r>
    </w:p>
    <w:p w14:paraId="6F65E5D5">
      <w:pPr>
        <w:pStyle w:val="166"/>
        <w:rPr>
          <w:snapToGrid w:val="0"/>
        </w:rPr>
      </w:pPr>
      <w:r>
        <w:rPr>
          <w:rFonts w:ascii="黑体" w:hAnsi="黑体" w:eastAsia="黑体"/>
          <w:snapToGrid w:val="0"/>
        </w:rPr>
        <w:t xml:space="preserve">5.4 </w:t>
      </w:r>
      <w:r>
        <w:rPr>
          <w:rFonts w:hint="eastAsia"/>
          <w:snapToGrid w:val="0"/>
        </w:rPr>
        <w:t>产业链协同帮扶。针对产业链关键环节与共性质量瓶颈，推动上下游协同质量改进，提升全链条质量水平。</w:t>
      </w:r>
    </w:p>
    <w:p w14:paraId="332F1D08">
      <w:pPr>
        <w:pStyle w:val="166"/>
        <w:rPr>
          <w:snapToGrid w:val="0"/>
        </w:rPr>
      </w:pPr>
      <w:r>
        <w:rPr>
          <w:rFonts w:ascii="黑体" w:hAnsi="黑体" w:eastAsia="黑体"/>
          <w:snapToGrid w:val="0"/>
        </w:rPr>
        <w:t xml:space="preserve">5.5 </w:t>
      </w:r>
      <w:r>
        <w:rPr>
          <w:rFonts w:hint="eastAsia"/>
          <w:snapToGrid w:val="0"/>
        </w:rPr>
        <w:t>区域集中帮扶。针对产业集聚区、产业集群开展系统性集中帮扶，破解区域性、行业性共性质量难题，提升区域产业整体质量水平。</w:t>
      </w:r>
    </w:p>
    <w:p w14:paraId="1FC05A14">
      <w:pPr>
        <w:pStyle w:val="108"/>
        <w:spacing w:before="240" w:after="240"/>
        <w:rPr>
          <w:rFonts w:ascii="Arial" w:hAnsi="Arial"/>
        </w:rPr>
      </w:pPr>
      <w:bookmarkStart w:id="134" w:name="_Toc228969901"/>
      <w:bookmarkStart w:id="135" w:name="_Toc228969783"/>
      <w:bookmarkStart w:id="136" w:name="_Toc228970019"/>
      <w:bookmarkStart w:id="137" w:name="_Toc228970167"/>
      <w:r>
        <w:rPr>
          <w:rFonts w:hint="eastAsia"/>
          <w:szCs w:val="21"/>
        </w:rPr>
        <w:t>帮扶方法</w:t>
      </w:r>
      <w:bookmarkEnd w:id="134"/>
      <w:bookmarkEnd w:id="135"/>
      <w:bookmarkEnd w:id="136"/>
      <w:bookmarkEnd w:id="137"/>
      <w:bookmarkStart w:id="138" w:name="_Toc228969784"/>
      <w:bookmarkEnd w:id="138"/>
      <w:bookmarkStart w:id="139" w:name="_Toc228970020"/>
      <w:bookmarkEnd w:id="139"/>
      <w:bookmarkStart w:id="140" w:name="_Toc228969902"/>
      <w:bookmarkEnd w:id="140"/>
    </w:p>
    <w:p w14:paraId="314C7D9E">
      <w:pPr>
        <w:pStyle w:val="166"/>
        <w:rPr>
          <w:snapToGrid w:val="0"/>
        </w:rPr>
      </w:pPr>
      <w:r>
        <w:rPr>
          <w:rFonts w:ascii="黑体" w:hAnsi="黑体" w:eastAsia="黑体"/>
          <w:snapToGrid w:val="0"/>
        </w:rPr>
        <w:t xml:space="preserve">6.1 </w:t>
      </w:r>
      <w:r>
        <w:rPr>
          <w:rFonts w:hint="eastAsia"/>
          <w:snapToGrid w:val="0"/>
        </w:rPr>
        <w:t>咨询服务</w:t>
      </w:r>
      <w:r>
        <w:rPr>
          <w:rFonts w:hint="eastAsia"/>
          <w:b/>
          <w:bCs/>
          <w:snapToGrid w:val="0"/>
        </w:rPr>
        <w:t>。</w:t>
      </w:r>
      <w:r>
        <w:rPr>
          <w:rFonts w:hint="eastAsia"/>
          <w:snapToGrid w:val="0"/>
        </w:rPr>
        <w:t>提供线上线下咨询渠道，及时响应质量技术疑问，提供日常指导服务。</w:t>
      </w:r>
    </w:p>
    <w:p w14:paraId="5E7BF3C2">
      <w:pPr>
        <w:pStyle w:val="166"/>
        <w:rPr>
          <w:snapToGrid w:val="0"/>
        </w:rPr>
      </w:pPr>
      <w:r>
        <w:rPr>
          <w:rFonts w:ascii="黑体" w:hAnsi="黑体" w:eastAsia="黑体"/>
          <w:snapToGrid w:val="0"/>
        </w:rPr>
        <w:t xml:space="preserve">6.2 </w:t>
      </w:r>
      <w:r>
        <w:rPr>
          <w:rFonts w:hint="eastAsia"/>
          <w:snapToGrid w:val="0"/>
        </w:rPr>
        <w:t>质量问诊。开展现场诊断、座谈问诊等方式，开展质量根源分析，制定整改与提升方案，提出解决措施。</w:t>
      </w:r>
    </w:p>
    <w:p w14:paraId="54433FC1">
      <w:pPr>
        <w:pStyle w:val="166"/>
        <w:rPr>
          <w:rFonts w:ascii="黑体" w:hAnsi="黑体" w:eastAsia="黑体"/>
          <w:snapToGrid w:val="0"/>
        </w:rPr>
      </w:pPr>
      <w:r>
        <w:rPr>
          <w:rFonts w:ascii="黑体" w:hAnsi="黑体" w:eastAsia="黑体"/>
          <w:snapToGrid w:val="0"/>
        </w:rPr>
        <w:t xml:space="preserve">6.3 </w:t>
      </w:r>
      <w:r>
        <w:rPr>
          <w:rFonts w:hAnsi="宋体"/>
          <w:snapToGrid w:val="0"/>
        </w:rPr>
        <w:t>“</w:t>
      </w:r>
      <w:r>
        <w:rPr>
          <w:rFonts w:hint="eastAsia" w:hAnsi="宋体"/>
          <w:snapToGrid w:val="0"/>
        </w:rPr>
        <w:t>一企一策”帮扶。</w:t>
      </w:r>
      <w:r>
        <w:rPr>
          <w:rFonts w:hint="eastAsia" w:ascii="宋体" w:hAnsi="宋体" w:eastAsia="宋体" w:cs="宋体"/>
          <w:b w:val="0"/>
          <w:bCs w:val="0"/>
          <w:snapToGrid w:val="0"/>
        </w:rPr>
        <w:t>组建专项小组制定提升方案，提供全周期落地指导与体系搭建服务。</w:t>
      </w:r>
    </w:p>
    <w:p w14:paraId="32F1A6A1">
      <w:pPr>
        <w:pStyle w:val="166"/>
        <w:rPr>
          <w:snapToGrid w:val="0"/>
        </w:rPr>
      </w:pPr>
      <w:r>
        <w:rPr>
          <w:rFonts w:ascii="黑体" w:hAnsi="黑体" w:eastAsia="黑体"/>
          <w:snapToGrid w:val="0"/>
        </w:rPr>
        <w:t xml:space="preserve">6.4 </w:t>
      </w:r>
      <w:r>
        <w:rPr>
          <w:rFonts w:hint="eastAsia"/>
          <w:snapToGrid w:val="0"/>
        </w:rPr>
        <w:t>交流培训。搭建平台、组织工艺改进、标准解读、检测技能等培训；交流质量管理经验，推动难题共解。</w:t>
      </w:r>
    </w:p>
    <w:p w14:paraId="7B924E51">
      <w:pPr>
        <w:pStyle w:val="166"/>
        <w:rPr>
          <w:rFonts w:ascii="Times New Roman"/>
        </w:rPr>
      </w:pPr>
      <w:r>
        <w:rPr>
          <w:rFonts w:ascii="黑体" w:hAnsi="黑体" w:eastAsia="黑体"/>
          <w:snapToGrid w:val="0"/>
        </w:rPr>
        <w:t>6.5</w:t>
      </w:r>
      <w:r>
        <w:rPr>
          <w:snapToGrid w:val="0"/>
        </w:rPr>
        <w:t xml:space="preserve"> </w:t>
      </w:r>
      <w:r>
        <w:rPr>
          <w:rFonts w:hint="eastAsia"/>
          <w:snapToGrid w:val="0"/>
        </w:rPr>
        <w:t>一站式</w:t>
      </w:r>
      <w:r>
        <w:rPr>
          <w:snapToGrid w:val="0"/>
        </w:rPr>
        <w:t>平台</w:t>
      </w:r>
      <w:r>
        <w:rPr>
          <w:rFonts w:hint="eastAsia"/>
          <w:snapToGrid w:val="0"/>
        </w:rPr>
        <w:t>。</w:t>
      </w:r>
      <w:r>
        <w:rPr>
          <w:snapToGrid w:val="0"/>
        </w:rPr>
        <w:t>整合计量、标准、认证认可、检验检测等</w:t>
      </w:r>
      <w:r>
        <w:rPr>
          <w:rFonts w:hint="eastAsia"/>
          <w:snapToGrid w:val="0"/>
        </w:rPr>
        <w:t>国家质量基础设施</w:t>
      </w:r>
      <w:r>
        <w:rPr>
          <w:snapToGrid w:val="0"/>
        </w:rPr>
        <w:t>资源，提供</w:t>
      </w:r>
      <w:r>
        <w:rPr>
          <w:rFonts w:hAnsi="宋体"/>
          <w:snapToGrid w:val="0"/>
        </w:rPr>
        <w:t>“</w:t>
      </w:r>
      <w:r>
        <w:rPr>
          <w:rFonts w:hint="eastAsia" w:hAnsi="宋体"/>
          <w:snapToGrid w:val="0"/>
        </w:rPr>
        <w:t>一站式</w:t>
      </w:r>
      <w:r>
        <w:rPr>
          <w:rFonts w:hAnsi="宋体"/>
          <w:snapToGrid w:val="0"/>
        </w:rPr>
        <w:t>”</w:t>
      </w:r>
      <w:r>
        <w:rPr>
          <w:snapToGrid w:val="0"/>
        </w:rPr>
        <w:t>综合服务。</w:t>
      </w:r>
    </w:p>
    <w:p w14:paraId="36D385D8">
      <w:pPr>
        <w:pStyle w:val="166"/>
        <w:rPr>
          <w:snapToGrid w:val="0"/>
        </w:rPr>
      </w:pPr>
      <w:r>
        <w:rPr>
          <w:rFonts w:ascii="黑体" w:hAnsi="黑体" w:eastAsia="黑体"/>
          <w:snapToGrid w:val="0"/>
        </w:rPr>
        <w:t>6.6</w:t>
      </w:r>
      <w:r>
        <w:rPr>
          <w:snapToGrid w:val="0"/>
        </w:rPr>
        <w:t xml:space="preserve"> </w:t>
      </w:r>
      <w:r>
        <w:rPr>
          <w:rFonts w:hint="eastAsia"/>
          <w:snapToGrid w:val="0"/>
        </w:rPr>
        <w:t>示范引领。培育质量标杆主体，通过示范带动、对标学习促进行业整体质量提升。</w:t>
      </w:r>
    </w:p>
    <w:p w14:paraId="6BC2723A">
      <w:pPr>
        <w:pStyle w:val="166"/>
        <w:rPr>
          <w:snapToGrid w:val="0"/>
        </w:rPr>
      </w:pPr>
      <w:r>
        <w:rPr>
          <w:rFonts w:ascii="黑体" w:hAnsi="黑体" w:eastAsia="黑体"/>
          <w:snapToGrid w:val="0"/>
        </w:rPr>
        <w:t xml:space="preserve">6.7 </w:t>
      </w:r>
      <w:r>
        <w:rPr>
          <w:rFonts w:hint="eastAsia"/>
          <w:snapToGrid w:val="0"/>
        </w:rPr>
        <w:t>标准化支撑。建立标准化工作机制，以标准化理念、方法与体系引导质量提升工作。</w:t>
      </w:r>
    </w:p>
    <w:p w14:paraId="5491E36E">
      <w:pPr>
        <w:pStyle w:val="166"/>
        <w:rPr>
          <w:rFonts w:hAnsi="Arial" w:eastAsia="黑体" w:cs="Arial"/>
          <w:snapToGrid w:val="0"/>
        </w:rPr>
      </w:pPr>
      <w:r>
        <w:rPr>
          <w:rFonts w:ascii="黑体" w:hAnsi="黑体" w:eastAsia="黑体"/>
          <w:snapToGrid w:val="0"/>
        </w:rPr>
        <w:t xml:space="preserve">6.8 </w:t>
      </w:r>
      <w:r>
        <w:rPr>
          <w:rFonts w:hint="eastAsia"/>
          <w:snapToGrid w:val="0"/>
        </w:rPr>
        <w:t>质量示范区创建。打造质量管理示范区域，形成可复制、可推广的质量管理模式。</w:t>
      </w:r>
    </w:p>
    <w:p w14:paraId="36D6F593">
      <w:pPr>
        <w:pStyle w:val="108"/>
        <w:spacing w:before="240" w:after="240"/>
      </w:pPr>
      <w:bookmarkStart w:id="141" w:name="_Toc228969915"/>
      <w:bookmarkEnd w:id="141"/>
      <w:bookmarkStart w:id="142" w:name="_Toc228969797"/>
      <w:bookmarkEnd w:id="142"/>
      <w:bookmarkStart w:id="143" w:name="_Toc228970032"/>
      <w:bookmarkEnd w:id="143"/>
      <w:bookmarkStart w:id="144" w:name="_Toc228969909"/>
      <w:bookmarkEnd w:id="144"/>
      <w:bookmarkStart w:id="145" w:name="_Toc228969920"/>
      <w:bookmarkEnd w:id="145"/>
      <w:bookmarkStart w:id="146" w:name="_Toc228970039"/>
      <w:bookmarkEnd w:id="146"/>
      <w:bookmarkStart w:id="147" w:name="_Toc228970038"/>
      <w:bookmarkEnd w:id="147"/>
      <w:bookmarkStart w:id="148" w:name="_Toc228969804"/>
      <w:bookmarkEnd w:id="148"/>
      <w:bookmarkStart w:id="149" w:name="_Toc228969803"/>
      <w:bookmarkEnd w:id="149"/>
      <w:bookmarkStart w:id="150" w:name="_Toc228969922"/>
      <w:bookmarkEnd w:id="150"/>
      <w:bookmarkStart w:id="151" w:name="_Toc228969921"/>
      <w:bookmarkEnd w:id="151"/>
      <w:bookmarkStart w:id="152" w:name="_Toc228970027"/>
      <w:bookmarkEnd w:id="152"/>
      <w:bookmarkStart w:id="153" w:name="_Toc228970037"/>
      <w:bookmarkEnd w:id="153"/>
      <w:bookmarkStart w:id="154" w:name="_Toc228969801"/>
      <w:bookmarkEnd w:id="154"/>
      <w:bookmarkStart w:id="155" w:name="_Toc228970035"/>
      <w:bookmarkEnd w:id="155"/>
      <w:bookmarkStart w:id="156" w:name="_Toc228969800"/>
      <w:bookmarkEnd w:id="156"/>
      <w:bookmarkStart w:id="157" w:name="_Toc228969919"/>
      <w:bookmarkEnd w:id="157"/>
      <w:bookmarkStart w:id="158" w:name="_Toc228969799"/>
      <w:bookmarkEnd w:id="158"/>
      <w:bookmarkStart w:id="159" w:name="_Toc228970033"/>
      <w:bookmarkEnd w:id="159"/>
      <w:bookmarkStart w:id="160" w:name="_Toc228970034"/>
      <w:bookmarkEnd w:id="160"/>
      <w:bookmarkStart w:id="161" w:name="_Toc228969917"/>
      <w:bookmarkEnd w:id="161"/>
      <w:bookmarkStart w:id="162" w:name="_Toc228969916"/>
      <w:bookmarkEnd w:id="162"/>
      <w:bookmarkStart w:id="163" w:name="_Toc228969798"/>
      <w:bookmarkEnd w:id="163"/>
      <w:bookmarkStart w:id="164" w:name="_Toc228969791"/>
      <w:bookmarkEnd w:id="164"/>
      <w:bookmarkStart w:id="165" w:name="_Toc228970040"/>
      <w:bookmarkEnd w:id="165"/>
      <w:bookmarkStart w:id="166" w:name="_Toc228969918"/>
      <w:bookmarkEnd w:id="166"/>
      <w:bookmarkStart w:id="167" w:name="_Toc228969802"/>
      <w:bookmarkEnd w:id="167"/>
      <w:bookmarkStart w:id="168" w:name="_Toc228970036"/>
      <w:bookmarkEnd w:id="168"/>
      <w:bookmarkStart w:id="169" w:name="_Toc228970031"/>
      <w:bookmarkEnd w:id="169"/>
      <w:bookmarkStart w:id="170" w:name="_Toc228969913"/>
      <w:bookmarkEnd w:id="170"/>
      <w:bookmarkStart w:id="171" w:name="_Toc228969796"/>
      <w:bookmarkEnd w:id="171"/>
      <w:bookmarkStart w:id="172" w:name="_Toc228969914"/>
      <w:bookmarkEnd w:id="172"/>
      <w:bookmarkStart w:id="173" w:name="_Toc228969792"/>
      <w:bookmarkEnd w:id="173"/>
      <w:bookmarkStart w:id="174" w:name="_Toc228969910"/>
      <w:bookmarkEnd w:id="174"/>
      <w:bookmarkStart w:id="175" w:name="_Toc228970030"/>
      <w:bookmarkEnd w:id="175"/>
      <w:bookmarkStart w:id="176" w:name="_Toc228969795"/>
      <w:bookmarkEnd w:id="176"/>
      <w:bookmarkStart w:id="177" w:name="_Toc228970028"/>
      <w:bookmarkEnd w:id="177"/>
      <w:bookmarkStart w:id="178" w:name="_Toc228969911"/>
      <w:bookmarkEnd w:id="178"/>
      <w:bookmarkStart w:id="179" w:name="_Toc228969793"/>
      <w:bookmarkEnd w:id="179"/>
      <w:bookmarkStart w:id="180" w:name="_Toc228969912"/>
      <w:bookmarkEnd w:id="180"/>
      <w:bookmarkStart w:id="181" w:name="_Toc228969789"/>
      <w:bookmarkEnd w:id="181"/>
      <w:bookmarkStart w:id="182" w:name="_Toc228969790"/>
      <w:bookmarkEnd w:id="182"/>
      <w:bookmarkStart w:id="183" w:name="_Toc228969794"/>
      <w:bookmarkEnd w:id="183"/>
      <w:bookmarkStart w:id="184" w:name="_Toc228970026"/>
      <w:bookmarkEnd w:id="184"/>
      <w:bookmarkStart w:id="185" w:name="_Toc228969908"/>
      <w:bookmarkEnd w:id="185"/>
      <w:bookmarkStart w:id="186" w:name="_Toc228970025"/>
      <w:bookmarkEnd w:id="186"/>
      <w:bookmarkStart w:id="187" w:name="_Toc228969907"/>
      <w:bookmarkEnd w:id="187"/>
      <w:bookmarkStart w:id="188" w:name="_Toc228970029"/>
      <w:bookmarkEnd w:id="188"/>
      <w:bookmarkStart w:id="189" w:name="_Toc228969906"/>
      <w:bookmarkEnd w:id="189"/>
      <w:bookmarkStart w:id="190" w:name="_Toc228969905"/>
      <w:bookmarkEnd w:id="190"/>
      <w:bookmarkStart w:id="191" w:name="_Toc228969788"/>
      <w:bookmarkEnd w:id="191"/>
      <w:bookmarkStart w:id="192" w:name="_Toc228970024"/>
      <w:bookmarkEnd w:id="192"/>
      <w:bookmarkStart w:id="193" w:name="_Toc228970023"/>
      <w:bookmarkEnd w:id="193"/>
      <w:bookmarkStart w:id="194" w:name="_Toc228970169"/>
      <w:bookmarkEnd w:id="194"/>
      <w:bookmarkStart w:id="195" w:name="_Toc228969787"/>
      <w:bookmarkEnd w:id="195"/>
      <w:bookmarkStart w:id="196" w:name="_Toc228970022"/>
      <w:bookmarkEnd w:id="196"/>
      <w:bookmarkStart w:id="197" w:name="_Toc228969904"/>
      <w:bookmarkEnd w:id="197"/>
      <w:bookmarkStart w:id="198" w:name="_Toc228969786"/>
      <w:bookmarkEnd w:id="198"/>
      <w:bookmarkStart w:id="199" w:name="_Toc228969785"/>
      <w:bookmarkEnd w:id="199"/>
      <w:bookmarkStart w:id="200" w:name="_Toc228970021"/>
      <w:bookmarkEnd w:id="200"/>
      <w:bookmarkStart w:id="201" w:name="_Toc228969903"/>
      <w:bookmarkEnd w:id="201"/>
      <w:bookmarkStart w:id="202" w:name="_Toc228970041"/>
      <w:bookmarkStart w:id="203" w:name="_Toc228970189"/>
      <w:bookmarkStart w:id="204" w:name="_Toc228969923"/>
      <w:bookmarkStart w:id="205" w:name="_Toc228969805"/>
      <w:bookmarkStart w:id="206" w:name="_Toc208504823"/>
      <w:bookmarkStart w:id="207" w:name="_Toc225243738"/>
      <w:bookmarkStart w:id="208" w:name="_Toc221540517"/>
      <w:bookmarkStart w:id="209" w:name="_Toc208503915"/>
      <w:bookmarkStart w:id="210" w:name="_Toc225243334"/>
      <w:bookmarkStart w:id="211" w:name="_Toc214287534"/>
      <w:bookmarkStart w:id="212" w:name="_Toc208503935"/>
      <w:r>
        <w:rPr>
          <w:rFonts w:hint="eastAsia"/>
        </w:rPr>
        <w:t>工作程序</w:t>
      </w:r>
      <w:bookmarkEnd w:id="202"/>
      <w:bookmarkEnd w:id="203"/>
      <w:bookmarkEnd w:id="204"/>
      <w:bookmarkEnd w:id="205"/>
      <w:bookmarkEnd w:id="206"/>
      <w:bookmarkEnd w:id="207"/>
      <w:bookmarkEnd w:id="208"/>
      <w:bookmarkEnd w:id="209"/>
      <w:bookmarkEnd w:id="210"/>
      <w:bookmarkEnd w:id="211"/>
      <w:bookmarkEnd w:id="212"/>
      <w:bookmarkStart w:id="312" w:name="_GoBack"/>
      <w:bookmarkEnd w:id="312"/>
    </w:p>
    <w:p w14:paraId="6F97C804">
      <w:pPr>
        <w:pStyle w:val="109"/>
        <w:spacing w:before="120" w:after="120"/>
      </w:pPr>
      <w:r>
        <w:rPr>
          <w:rFonts w:hint="eastAsia"/>
        </w:rPr>
        <w:t>工作流程</w:t>
      </w:r>
    </w:p>
    <w:p w14:paraId="2CE12376">
      <w:pPr>
        <w:pStyle w:val="60"/>
        <w:ind w:firstLine="420"/>
      </w:pPr>
      <w:r>
        <w:rPr>
          <w:rFonts w:hint="eastAsia"/>
        </w:rPr>
        <w:t>依托各类监管信息归集研判，识别产品及行业质量风险与质量提升需求，以此作为质量联动工作启动的前置基础；同时结合经营主体自主申报的帮扶诉求，依规受理响应，共同构成监管帮扶联动工作的双重启动逻辑。</w:t>
      </w:r>
    </w:p>
    <w:p w14:paraId="3F727726">
      <w:pPr>
        <w:pStyle w:val="60"/>
        <w:ind w:firstLine="420"/>
        <w:rPr>
          <w:rFonts w:ascii="黑体" w:eastAsia="黑体"/>
          <w:snapToGrid w:val="0"/>
        </w:rPr>
      </w:pPr>
      <w:r>
        <w:rPr>
          <w:rFonts w:hint="eastAsia"/>
          <w:snapToGrid w:val="0"/>
        </w:rPr>
        <w:t>联动工作流程如图</w:t>
      </w:r>
      <w:r>
        <w:rPr>
          <w:snapToGrid w:val="0"/>
        </w:rPr>
        <w:t>1</w:t>
      </w:r>
      <w:r>
        <w:rPr>
          <w:rFonts w:hint="eastAsia"/>
          <w:snapToGrid w:val="0"/>
        </w:rPr>
        <w:t>所示。</w:t>
      </w:r>
    </w:p>
    <w:p w14:paraId="2551CA3E">
      <w:pPr>
        <w:pStyle w:val="109"/>
        <w:numPr>
          <w:ilvl w:val="0"/>
          <w:numId w:val="0"/>
        </w:numPr>
        <w:spacing w:before="120" w:after="120"/>
        <w:rPr>
          <w:rFonts w:ascii="宋体" w:eastAsia="宋体"/>
          <w:snapToGrid w:val="0"/>
        </w:rPr>
      </w:pPr>
    </w:p>
    <w:p w14:paraId="4DC87368">
      <w:pPr>
        <w:pStyle w:val="60"/>
        <w:ind w:firstLine="420"/>
        <w:rPr>
          <w:snapToGrid w:val="0"/>
        </w:rPr>
      </w:pPr>
    </w:p>
    <w:p w14:paraId="1E00302E">
      <w:pPr>
        <w:pStyle w:val="60"/>
        <w:ind w:firstLine="199" w:firstLineChars="95"/>
      </w:pPr>
      <w:r>
        <w:rPr>
          <w:rFonts w:ascii="黑体" w:eastAsia="黑体"/>
        </w:rPr>
        <w:object>
          <v:shape id="_x0000_i1025" o:spt="75" type="#_x0000_t75" style="height:554.25pt;width:468pt;" o:ole="t" filled="f" o:preferrelative="t" stroked="f" coordsize="21600,21600">
            <v:path/>
            <v:fill on="f" focussize="0,0"/>
            <v:stroke on="f" joinstyle="miter"/>
            <v:imagedata r:id="rId17" o:title=""/>
            <o:lock v:ext="edit" aspectratio="t"/>
            <w10:wrap type="none"/>
            <w10:anchorlock/>
          </v:shape>
          <o:OLEObject Type="Embed" ProgID="Visio.Drawing.11" ShapeID="_x0000_i1025" DrawAspect="Content" ObjectID="_1468075725" r:id="rId16">
            <o:LockedField>false</o:LockedField>
          </o:OLEObject>
        </w:object>
      </w:r>
    </w:p>
    <w:p w14:paraId="08450E8F">
      <w:pPr>
        <w:pStyle w:val="118"/>
        <w:spacing w:before="120" w:after="120"/>
      </w:pPr>
      <w:r>
        <w:rPr>
          <w:rFonts w:hint="eastAsia"/>
          <w:snapToGrid w:val="0"/>
        </w:rPr>
        <w:t>联动工作流程图</w:t>
      </w:r>
    </w:p>
    <w:p w14:paraId="74449344">
      <w:pPr>
        <w:pStyle w:val="109"/>
        <w:spacing w:before="120" w:after="120"/>
      </w:pPr>
      <w:r>
        <w:rPr>
          <w:rFonts w:hint="eastAsia"/>
        </w:rPr>
        <w:t>帮扶触发情形</w:t>
      </w:r>
      <w:r>
        <w:t xml:space="preserve">  </w:t>
      </w:r>
    </w:p>
    <w:p w14:paraId="05D285C7">
      <w:pPr>
        <w:pStyle w:val="69"/>
        <w:spacing w:before="120" w:after="120"/>
        <w:ind w:left="0"/>
      </w:pPr>
      <w:r>
        <w:rPr>
          <w:rFonts w:hint="eastAsia"/>
        </w:rPr>
        <w:t>监管触发</w:t>
      </w:r>
    </w:p>
    <w:p w14:paraId="7862D052">
      <w:pPr>
        <w:pStyle w:val="168"/>
      </w:pPr>
      <w:r>
        <w:rPr>
          <w:rFonts w:hint="eastAsia"/>
        </w:rPr>
        <w:t>通过监管措施，收集信息：</w:t>
      </w:r>
    </w:p>
    <w:p w14:paraId="01DEE05D">
      <w:pPr>
        <w:pStyle w:val="178"/>
      </w:pPr>
      <w:r>
        <w:rPr>
          <w:rFonts w:hint="eastAsia"/>
        </w:rPr>
        <w:t>监督抽查结果不合格的；</w:t>
      </w:r>
    </w:p>
    <w:p w14:paraId="5E520BF3">
      <w:pPr>
        <w:pStyle w:val="178"/>
      </w:pPr>
      <w:r>
        <w:rPr>
          <w:rFonts w:hint="eastAsia"/>
        </w:rPr>
        <w:t>发现产业集聚区普遍性质量问题或产业链共性质量瓶颈的；</w:t>
      </w:r>
    </w:p>
    <w:p w14:paraId="0CA16404">
      <w:pPr>
        <w:pStyle w:val="178"/>
      </w:pPr>
      <w:r>
        <w:rPr>
          <w:rFonts w:hint="eastAsia"/>
        </w:rPr>
        <w:t>新兴产业、新产品研发生产存在突出质量技术难题的；</w:t>
      </w:r>
    </w:p>
    <w:p w14:paraId="2686A5CD">
      <w:pPr>
        <w:pStyle w:val="178"/>
      </w:pPr>
      <w:r>
        <w:rPr>
          <w:rFonts w:hint="eastAsia"/>
        </w:rPr>
        <w:t>发现区域性、行业性、系统性质量安全风险隐患的；</w:t>
      </w:r>
    </w:p>
    <w:p w14:paraId="169373BB">
      <w:pPr>
        <w:pStyle w:val="178"/>
      </w:pPr>
      <w:r>
        <w:rPr>
          <w:rFonts w:hint="eastAsia"/>
        </w:rPr>
        <w:t>其他通过监管措施收集的信息。</w:t>
      </w:r>
    </w:p>
    <w:p w14:paraId="31CB80A3">
      <w:pPr>
        <w:pStyle w:val="168"/>
      </w:pPr>
      <w:r>
        <w:rPr>
          <w:rFonts w:hint="eastAsia"/>
        </w:rPr>
        <w:t>质量问题识别。对收集的监管信息进行梳理分析，开展</w:t>
      </w:r>
      <w:r>
        <w:rPr>
          <w:rFonts w:hint="eastAsia"/>
          <w:bCs/>
        </w:rPr>
        <w:t>质量问题识别</w:t>
      </w:r>
      <w:r>
        <w:rPr>
          <w:rFonts w:hint="eastAsia"/>
        </w:rPr>
        <w:t>，确定问题性质、产生环节、涉及范围。</w:t>
      </w:r>
    </w:p>
    <w:p w14:paraId="6712AD6D">
      <w:pPr>
        <w:pStyle w:val="168"/>
      </w:pPr>
      <w:r>
        <w:rPr>
          <w:rFonts w:hint="eastAsia"/>
        </w:rPr>
        <w:t>风险等级评估。依据问题严重程度、影响范围、扩散风险等，将质量问题划分为高风险、低风险两类。</w:t>
      </w:r>
    </w:p>
    <w:p w14:paraId="529421FD">
      <w:pPr>
        <w:pStyle w:val="168"/>
      </w:pPr>
      <w:r>
        <w:rPr>
          <w:rFonts w:hint="eastAsia"/>
        </w:rPr>
        <w:t>启动判定：</w:t>
      </w:r>
    </w:p>
    <w:p w14:paraId="17E8B643">
      <w:pPr>
        <w:pStyle w:val="178"/>
        <w:numPr>
          <w:ilvl w:val="0"/>
          <w:numId w:val="32"/>
        </w:numPr>
      </w:pPr>
      <w:r>
        <w:rPr>
          <w:rFonts w:hint="eastAsia"/>
        </w:rPr>
        <w:t>低风险问题。对于出现偶发的、轻微不合格的情况，按常规监管流程督促整改，不启动帮扶；</w:t>
      </w:r>
    </w:p>
    <w:p w14:paraId="55A4E987">
      <w:pPr>
        <w:pStyle w:val="178"/>
        <w:numPr>
          <w:ilvl w:val="0"/>
          <w:numId w:val="32"/>
        </w:numPr>
      </w:pPr>
      <w:r>
        <w:rPr>
          <w:rFonts w:hint="eastAsia"/>
        </w:rPr>
        <w:t>高风险问题。涉及人身健康、财产安全、生态环境安全、系统性风险、行业性或区域性等问题的，对明确愿意配合整改，主动寻求质量提升的，启动质量技术帮扶。</w:t>
      </w:r>
    </w:p>
    <w:p w14:paraId="329FBAEF">
      <w:pPr>
        <w:pStyle w:val="69"/>
        <w:spacing w:before="120" w:after="120"/>
        <w:ind w:left="0"/>
        <w:rPr>
          <w:b/>
          <w:bCs/>
        </w:rPr>
      </w:pPr>
      <w:r>
        <w:rPr>
          <w:rFonts w:hint="eastAsia"/>
        </w:rPr>
        <w:t>经营主体申请触发</w:t>
      </w:r>
    </w:p>
    <w:p w14:paraId="34D322F7">
      <w:pPr>
        <w:pStyle w:val="168"/>
      </w:pPr>
      <w:r>
        <w:rPr>
          <w:rFonts w:hint="eastAsia"/>
        </w:rPr>
        <w:t>经营主体申请。主动提出帮扶申请，说明质量需求、帮扶诉求及改进意愿。</w:t>
      </w:r>
    </w:p>
    <w:p w14:paraId="22F123CA">
      <w:pPr>
        <w:pStyle w:val="168"/>
      </w:pPr>
      <w:r>
        <w:rPr>
          <w:rFonts w:hint="eastAsia"/>
        </w:rPr>
        <w:t>帮扶需求评估。对申请材料进行审核，对帮扶需求的合理性、帮扶事项的可行性进行评估。</w:t>
      </w:r>
    </w:p>
    <w:p w14:paraId="17F6CFDB">
      <w:pPr>
        <w:pStyle w:val="168"/>
      </w:pPr>
      <w:r>
        <w:rPr>
          <w:rFonts w:hint="eastAsia"/>
        </w:rPr>
        <w:t>启动判定：</w:t>
      </w:r>
    </w:p>
    <w:p w14:paraId="7290C55E">
      <w:pPr>
        <w:pStyle w:val="178"/>
        <w:numPr>
          <w:ilvl w:val="0"/>
          <w:numId w:val="33"/>
        </w:numPr>
      </w:pPr>
      <w:r>
        <w:rPr>
          <w:rFonts w:hint="eastAsia"/>
        </w:rPr>
        <w:t>存在质量问题、技术瓶颈或质量提升需求，且经营主体具备改进意愿的，启动帮扶；</w:t>
      </w:r>
    </w:p>
    <w:p w14:paraId="36F0ABEC">
      <w:pPr>
        <w:pStyle w:val="178"/>
      </w:pPr>
      <w:r>
        <w:rPr>
          <w:rFonts w:hint="eastAsia"/>
        </w:rPr>
        <w:t>对申请内容失实，或属于市场竞争、经营决策等非质量技术类问题，以及其他不属于帮扶范围的情况，不启动帮扶。</w:t>
      </w:r>
    </w:p>
    <w:p w14:paraId="4A00517A">
      <w:pPr>
        <w:pStyle w:val="168"/>
        <w:rPr>
          <w:rFonts w:hAnsi="黑体"/>
        </w:rPr>
      </w:pPr>
      <w:r>
        <w:rPr>
          <w:rFonts w:hint="eastAsia"/>
        </w:rPr>
        <w:t>经营主体申请质量技术帮扶的，可参照附录</w:t>
      </w:r>
      <w:r>
        <w:t xml:space="preserve"> A.1</w:t>
      </w:r>
      <w:r>
        <w:rPr>
          <w:rFonts w:hint="eastAsia"/>
        </w:rPr>
        <w:t>《质量技术帮扶申请表》填报。</w:t>
      </w:r>
    </w:p>
    <w:p w14:paraId="09429FDF">
      <w:pPr>
        <w:pStyle w:val="109"/>
        <w:spacing w:before="120" w:after="120"/>
      </w:pPr>
      <w:r>
        <w:rPr>
          <w:rFonts w:hint="eastAsia"/>
        </w:rPr>
        <w:t>帮扶策划</w:t>
      </w:r>
    </w:p>
    <w:p w14:paraId="5BFBECBA">
      <w:pPr>
        <w:pStyle w:val="69"/>
        <w:spacing w:before="120" w:after="120"/>
        <w:ind w:left="0"/>
        <w:rPr>
          <w:rFonts w:cs="MS Gothic"/>
        </w:rPr>
      </w:pPr>
      <w:r>
        <w:rPr>
          <w:rFonts w:hint="eastAsia"/>
        </w:rPr>
        <w:t>组建帮扶团队</w:t>
      </w:r>
    </w:p>
    <w:p w14:paraId="6AB576AE">
      <w:pPr>
        <w:pStyle w:val="168"/>
        <w:rPr>
          <w:rFonts w:ascii="黑体" w:hAnsi="黑体" w:eastAsia="黑体"/>
        </w:rPr>
      </w:pPr>
      <w:r>
        <w:rPr>
          <w:rFonts w:hint="eastAsia"/>
        </w:rPr>
        <w:t>委托具备技术能力的第三方机构或专家组建。</w:t>
      </w:r>
    </w:p>
    <w:p w14:paraId="4E96EC9E">
      <w:pPr>
        <w:pStyle w:val="168"/>
        <w:rPr>
          <w:rFonts w:hAnsi="黑体"/>
        </w:rPr>
      </w:pPr>
      <w:r>
        <w:rPr>
          <w:rFonts w:hint="eastAsia"/>
        </w:rPr>
        <w:t>第三方机构包括计量、标准、检验检测、认证等技术机构以及行业协会、高等院校、科研机构等相关单位。</w:t>
      </w:r>
    </w:p>
    <w:p w14:paraId="0F004976">
      <w:pPr>
        <w:pStyle w:val="168"/>
        <w:rPr>
          <w:rFonts w:hAnsi="黑体"/>
        </w:rPr>
      </w:pPr>
      <w:r>
        <w:rPr>
          <w:rFonts w:hint="eastAsia"/>
        </w:rPr>
        <w:t>专家宜具备相应专业技术能力、质量管理经验，熟悉相关法律法规与技术规范，能够开展质量诊断、技术指导与问题整改服务。</w:t>
      </w:r>
    </w:p>
    <w:p w14:paraId="190EE21A">
      <w:pPr>
        <w:pStyle w:val="69"/>
        <w:spacing w:before="120" w:after="120"/>
        <w:ind w:left="0"/>
        <w:rPr>
          <w:rFonts w:hAnsi="黑体"/>
        </w:rPr>
      </w:pPr>
      <w:r>
        <w:rPr>
          <w:rFonts w:hint="eastAsia"/>
        </w:rPr>
        <w:t>诊断质量问题</w:t>
      </w:r>
    </w:p>
    <w:p w14:paraId="6B04B5B1">
      <w:pPr>
        <w:pStyle w:val="168"/>
      </w:pPr>
      <w:r>
        <w:rPr>
          <w:rFonts w:hint="eastAsia"/>
        </w:rPr>
        <w:t>帮扶团队结合监管发现的质量问题识别结果、风险等级评估结论，或经营主体自愿申请的帮扶诉求，开展质量诊断。</w:t>
      </w:r>
    </w:p>
    <w:p w14:paraId="2EBB349F">
      <w:pPr>
        <w:pStyle w:val="168"/>
      </w:pPr>
      <w:r>
        <w:rPr>
          <w:rFonts w:hint="eastAsia"/>
        </w:rPr>
        <w:t>可运用因果图、</w:t>
      </w:r>
      <w:r>
        <w:t>5M1E</w:t>
      </w:r>
      <w:r>
        <w:rPr>
          <w:rFonts w:hint="eastAsia"/>
        </w:rPr>
        <w:t>分析、故障模式与影响分析、风险矩阵评估、六西格玛等常见质量分析工具，对产品质量问题进行分析和诊断。</w:t>
      </w:r>
    </w:p>
    <w:p w14:paraId="5EDE9233">
      <w:pPr>
        <w:pStyle w:val="168"/>
      </w:pPr>
      <w:r>
        <w:rPr>
          <w:rFonts w:hint="eastAsia"/>
        </w:rPr>
        <w:t>可参照附录</w:t>
      </w:r>
      <w:r>
        <w:t>B</w:t>
      </w:r>
      <w:r>
        <w:rPr>
          <w:rFonts w:hint="eastAsia"/>
        </w:rPr>
        <w:t>中表</w:t>
      </w:r>
      <w:r>
        <w:t>B.1</w:t>
      </w:r>
      <w:r>
        <w:rPr>
          <w:rFonts w:hint="eastAsia"/>
        </w:rPr>
        <w:t>的格式编制《产品质量问题原因分析表》，记录分析过程与结果。产品实现各阶段常见质量问题及控制建议可参照附录</w:t>
      </w:r>
      <w:r>
        <w:t xml:space="preserve"> C</w:t>
      </w:r>
      <w:r>
        <w:rPr>
          <w:rFonts w:hint="eastAsia"/>
        </w:rPr>
        <w:t>。</w:t>
      </w:r>
    </w:p>
    <w:p w14:paraId="1B9B9196">
      <w:pPr>
        <w:pStyle w:val="168"/>
      </w:pPr>
      <w:r>
        <w:rPr>
          <w:rFonts w:hint="eastAsia"/>
        </w:rPr>
        <w:t>分析诊断完成后，形成质量问题诊断报告，明确质量问题的具体表现、产生根源及改进方向等内容。</w:t>
      </w:r>
    </w:p>
    <w:p w14:paraId="3A2CDFEA">
      <w:pPr>
        <w:pStyle w:val="69"/>
        <w:spacing w:before="120" w:after="120"/>
        <w:ind w:left="0"/>
      </w:pPr>
      <w:r>
        <w:rPr>
          <w:rFonts w:hint="eastAsia"/>
        </w:rPr>
        <w:t>确定帮扶清单</w:t>
      </w:r>
    </w:p>
    <w:p w14:paraId="6696E53A">
      <w:pPr>
        <w:pStyle w:val="168"/>
        <w:rPr>
          <w:rFonts w:ascii="黑体" w:hAnsi="黑体" w:eastAsia="黑体"/>
        </w:rPr>
      </w:pPr>
      <w:r>
        <w:rPr>
          <w:rFonts w:hint="eastAsia"/>
        </w:rPr>
        <w:t>基于诊断结果，梳理形成帮扶清单，明确需解决的质量问题、拟提供的服务项目、需达成的量化指标（如整改完成率、质量合格率提升幅度等）。帮扶清单可参照附录E进行编制。</w:t>
      </w:r>
    </w:p>
    <w:p w14:paraId="45E4DE60">
      <w:pPr>
        <w:pStyle w:val="168"/>
        <w:rPr>
          <w:rFonts w:hAnsi="黑体"/>
        </w:rPr>
      </w:pPr>
      <w:r>
        <w:rPr>
          <w:rFonts w:hint="eastAsia"/>
        </w:rPr>
        <w:t>帮扶清单经帮扶团队与帮扶对象沟通确认，确保需求匹配、重点突出。</w:t>
      </w:r>
    </w:p>
    <w:p w14:paraId="7833EFD3">
      <w:pPr>
        <w:pStyle w:val="69"/>
        <w:spacing w:before="120" w:after="120"/>
        <w:ind w:left="0"/>
      </w:pPr>
      <w:r>
        <w:rPr>
          <w:rFonts w:hint="eastAsia"/>
        </w:rPr>
        <w:t>制定帮扶方案</w:t>
      </w:r>
    </w:p>
    <w:p w14:paraId="7B846184">
      <w:pPr>
        <w:pStyle w:val="168"/>
      </w:pPr>
      <w:r>
        <w:rPr>
          <w:rFonts w:hint="eastAsia"/>
        </w:rPr>
        <w:t>依据帮扶清单与团队配置，编制帮扶实施方案，明确以下内容：</w:t>
      </w:r>
    </w:p>
    <w:p w14:paraId="209E0C80">
      <w:pPr>
        <w:pStyle w:val="178"/>
        <w:numPr>
          <w:ilvl w:val="0"/>
          <w:numId w:val="34"/>
        </w:numPr>
      </w:pPr>
      <w:r>
        <w:rPr>
          <w:rFonts w:hint="eastAsia"/>
        </w:rPr>
        <w:t>帮扶对象、帮扶依据及目标；</w:t>
      </w:r>
    </w:p>
    <w:p w14:paraId="6A52549A">
      <w:pPr>
        <w:pStyle w:val="178"/>
      </w:pPr>
      <w:r>
        <w:rPr>
          <w:rFonts w:hint="eastAsia"/>
        </w:rPr>
        <w:t>具体帮扶方式、技术路径与实施步骤；</w:t>
      </w:r>
    </w:p>
    <w:p w14:paraId="73848A6F">
      <w:pPr>
        <w:pStyle w:val="178"/>
      </w:pPr>
      <w:r>
        <w:rPr>
          <w:rFonts w:hint="eastAsia"/>
        </w:rPr>
        <w:t>人力、技术、设备等资源配置；</w:t>
      </w:r>
    </w:p>
    <w:p w14:paraId="3EBFB325">
      <w:pPr>
        <w:pStyle w:val="178"/>
      </w:pPr>
      <w:r>
        <w:rPr>
          <w:rFonts w:hint="eastAsia"/>
        </w:rPr>
        <w:t>潜在风险识别及应对预案；</w:t>
      </w:r>
    </w:p>
    <w:p w14:paraId="5B485ECB">
      <w:pPr>
        <w:pStyle w:val="178"/>
      </w:pPr>
      <w:r>
        <w:rPr>
          <w:rFonts w:hint="eastAsia"/>
        </w:rPr>
        <w:t>成效评估方法与验收标准。</w:t>
      </w:r>
    </w:p>
    <w:p w14:paraId="2702EA9F">
      <w:pPr>
        <w:pStyle w:val="168"/>
      </w:pPr>
      <w:r>
        <w:rPr>
          <w:rFonts w:hint="eastAsia"/>
        </w:rPr>
        <w:t>经帮扶团队与帮扶对象确认，达成一致后确定帮扶方案。</w:t>
      </w:r>
    </w:p>
    <w:p w14:paraId="68863CDC">
      <w:pPr>
        <w:pStyle w:val="109"/>
        <w:spacing w:before="120" w:after="120"/>
      </w:pPr>
      <w:bookmarkStart w:id="213" w:name="_Toc208503922"/>
      <w:r>
        <w:rPr>
          <w:rFonts w:hint="eastAsia"/>
        </w:rPr>
        <w:t>帮扶实施</w:t>
      </w:r>
      <w:bookmarkEnd w:id="213"/>
    </w:p>
    <w:p w14:paraId="3AAAEF4D">
      <w:pPr>
        <w:pStyle w:val="169"/>
        <w:ind w:left="0"/>
      </w:pPr>
      <w:r>
        <w:rPr>
          <w:rFonts w:hint="eastAsia"/>
        </w:rPr>
        <w:t>组建实施团队并明确职责分工。实施团队通常由项目负责人、帮扶专家组成，负责具体技术方案的执行、培训和问题解决；</w:t>
      </w:r>
      <w:r>
        <w:rPr>
          <w:rFonts w:hint="eastAsia" w:ascii="Times New Roman"/>
        </w:rPr>
        <w:t>协调工作由指定的联系人承担，负责进度跟踪、会议组织、信息沟通和后勤保障等事宜。</w:t>
      </w:r>
    </w:p>
    <w:p w14:paraId="4AAB335E">
      <w:pPr>
        <w:pStyle w:val="169"/>
        <w:ind w:left="0"/>
      </w:pPr>
      <w:r>
        <w:rPr>
          <w:rFonts w:hint="eastAsia"/>
        </w:rPr>
        <w:t>根据工作方案，有必要的情况下，可组织项目实施启动会，解读方案具体内容、明确各方职责、公布进度计划安排。</w:t>
      </w:r>
    </w:p>
    <w:p w14:paraId="03FAEB6F">
      <w:pPr>
        <w:pStyle w:val="169"/>
        <w:ind w:left="0"/>
        <w:rPr>
          <w:rFonts w:ascii="MS Gothic" w:hAnsi="MS Gothic" w:cs="MS Gothic" w:eastAsiaTheme="minorEastAsia"/>
        </w:rPr>
      </w:pPr>
      <w:r>
        <w:rPr>
          <w:rFonts w:hint="eastAsia"/>
        </w:rPr>
        <w:t>准备工作需要的设备、文件材料、工具等</w:t>
      </w:r>
      <w:r>
        <w:rPr>
          <w:rFonts w:hint="eastAsia" w:ascii="Segoe UI" w:hAnsi="Segoe UI" w:cs="Segoe UI"/>
          <w:spacing w:val="-2"/>
          <w:shd w:val="clear" w:color="auto" w:fill="FFFFFF"/>
        </w:rPr>
        <w:t>。</w:t>
      </w:r>
    </w:p>
    <w:p w14:paraId="4C26AD9B">
      <w:pPr>
        <w:pStyle w:val="169"/>
        <w:ind w:left="0"/>
      </w:pPr>
      <w:r>
        <w:rPr>
          <w:rFonts w:hint="eastAsia"/>
        </w:rPr>
        <w:t>依据方案确定的服务方式逐项落实各项帮扶工作。建立记录制度，规范帮扶过程的记录管理。可参照附录</w:t>
      </w:r>
      <w:r>
        <w:t>D</w:t>
      </w:r>
      <w:r>
        <w:rPr>
          <w:rFonts w:hint="eastAsia"/>
        </w:rPr>
        <w:t>进行编制。</w:t>
      </w:r>
    </w:p>
    <w:p w14:paraId="02DEFA90">
      <w:pPr>
        <w:pStyle w:val="169"/>
        <w:ind w:left="0"/>
        <w:rPr>
          <w:rFonts w:eastAsiaTheme="minorEastAsia"/>
        </w:rPr>
      </w:pPr>
      <w:r>
        <w:rPr>
          <w:rFonts w:hint="eastAsia"/>
        </w:rPr>
        <w:t>依据帮扶方案开展帮扶效果验证工作。如在经营主体完成整改后，组织专家进行现场复核验证；通过再次抽样检测、体系审核、数据比对等方式，确认产品质量是否稳定合格，管理水平是否有效提升。</w:t>
      </w:r>
    </w:p>
    <w:p w14:paraId="3F3F2554">
      <w:pPr>
        <w:pStyle w:val="169"/>
        <w:ind w:left="0"/>
      </w:pPr>
      <w:r>
        <w:rPr>
          <w:rFonts w:hint="eastAsia"/>
        </w:rPr>
        <w:t>指导经营主体将有效的改进措施制度化、标准化，纳入质量管理文件体系。</w:t>
      </w:r>
    </w:p>
    <w:p w14:paraId="1A7BB8A5">
      <w:pPr>
        <w:pStyle w:val="169"/>
        <w:ind w:left="0"/>
      </w:pPr>
      <w:r>
        <w:rPr>
          <w:rFonts w:hint="eastAsia"/>
        </w:rPr>
        <w:t>对帮扶工作进行总结，形成总结报告。</w:t>
      </w:r>
    </w:p>
    <w:p w14:paraId="2C47C282">
      <w:pPr>
        <w:pStyle w:val="109"/>
        <w:spacing w:before="120" w:after="120"/>
      </w:pPr>
      <w:bookmarkStart w:id="214" w:name="_Toc208503925"/>
      <w:r>
        <w:rPr>
          <w:rFonts w:hint="eastAsia"/>
        </w:rPr>
        <w:t>效果评价</w:t>
      </w:r>
      <w:bookmarkEnd w:id="214"/>
    </w:p>
    <w:p w14:paraId="57FDB49D">
      <w:pPr>
        <w:pStyle w:val="169"/>
        <w:ind w:left="0"/>
        <w:rPr>
          <w:rFonts w:eastAsiaTheme="minorEastAsia"/>
        </w:rPr>
      </w:pPr>
      <w:r>
        <w:rPr>
          <w:rFonts w:hint="eastAsia"/>
        </w:rPr>
        <w:t>采用定量与定性相结合的评估方法，对照帮扶方案及帮扶清单确定的目标，开展帮扶效果的评价。</w:t>
      </w:r>
    </w:p>
    <w:p w14:paraId="3B06DE80">
      <w:pPr>
        <w:pStyle w:val="169"/>
        <w:ind w:left="0"/>
      </w:pPr>
      <w:r>
        <w:rPr>
          <w:rFonts w:hint="eastAsia"/>
        </w:rPr>
        <w:t>定量评估维度及指标，包括但不限于：</w:t>
      </w:r>
    </w:p>
    <w:p w14:paraId="1192AAD2">
      <w:pPr>
        <w:pStyle w:val="178"/>
        <w:numPr>
          <w:ilvl w:val="0"/>
          <w:numId w:val="35"/>
        </w:numPr>
        <w:rPr>
          <w:rFonts w:eastAsiaTheme="minorEastAsia"/>
        </w:rPr>
      </w:pPr>
      <w:r>
        <w:rPr>
          <w:rFonts w:hint="eastAsia"/>
        </w:rPr>
        <w:t>工作执行类。帮扶工作及时率、帮扶任务完成率等工作执行类指标；</w:t>
      </w:r>
    </w:p>
    <w:p w14:paraId="42AFF75B">
      <w:pPr>
        <w:pStyle w:val="178"/>
        <w:rPr>
          <w:rFonts w:eastAsiaTheme="minorEastAsia"/>
        </w:rPr>
      </w:pPr>
      <w:r>
        <w:rPr>
          <w:rFonts w:hint="eastAsia"/>
        </w:rPr>
        <w:t>问题整改类。质量问题整改完成率、整改闭环周期；</w:t>
      </w:r>
    </w:p>
    <w:p w14:paraId="73B13952">
      <w:pPr>
        <w:pStyle w:val="178"/>
        <w:rPr>
          <w:rFonts w:eastAsiaTheme="minorEastAsia"/>
        </w:rPr>
      </w:pPr>
      <w:r>
        <w:rPr>
          <w:rFonts w:hint="eastAsia"/>
        </w:rPr>
        <w:t>质量提升类。产品质量合格率提升幅度、关键质量特性达标率、过程质量波动降低幅度。</w:t>
      </w:r>
    </w:p>
    <w:p w14:paraId="70F0E1C4">
      <w:pPr>
        <w:pStyle w:val="169"/>
        <w:ind w:left="0"/>
      </w:pPr>
      <w:r>
        <w:rPr>
          <w:rFonts w:hint="eastAsia"/>
        </w:rPr>
        <w:t>定性评估维度及内容，包括但不限于：</w:t>
      </w:r>
    </w:p>
    <w:p w14:paraId="64121A75">
      <w:pPr>
        <w:pStyle w:val="178"/>
        <w:numPr>
          <w:ilvl w:val="0"/>
          <w:numId w:val="36"/>
        </w:numPr>
        <w:rPr>
          <w:rFonts w:eastAsiaTheme="minorEastAsia"/>
        </w:rPr>
      </w:pPr>
      <w:r>
        <w:rPr>
          <w:rFonts w:hint="eastAsia"/>
        </w:rPr>
        <w:t>体系建设类。质量管理体系完善度、质量管理制度执行有效性；</w:t>
      </w:r>
    </w:p>
    <w:p w14:paraId="258DD6E4">
      <w:pPr>
        <w:pStyle w:val="178"/>
        <w:rPr>
          <w:rFonts w:eastAsiaTheme="minorEastAsia"/>
        </w:rPr>
      </w:pPr>
      <w:r>
        <w:rPr>
          <w:rFonts w:hint="eastAsia"/>
        </w:rPr>
        <w:t>能力提升类。相关人员质量意识、技术操作能力、风险防控能力改善情况；</w:t>
      </w:r>
    </w:p>
    <w:p w14:paraId="4D79C13E">
      <w:pPr>
        <w:pStyle w:val="178"/>
        <w:rPr>
          <w:rFonts w:eastAsiaTheme="minorEastAsia"/>
        </w:rPr>
      </w:pPr>
      <w:r>
        <w:rPr>
          <w:rFonts w:hint="eastAsia"/>
        </w:rPr>
        <w:t>服务反馈类。帮扶对象对帮扶团队服务适配性、专业性、及时性的满意度。</w:t>
      </w:r>
    </w:p>
    <w:p w14:paraId="52F74E40">
      <w:pPr>
        <w:pStyle w:val="169"/>
        <w:ind w:left="0"/>
        <w:rPr>
          <w:rFonts w:eastAsiaTheme="minorEastAsia"/>
        </w:rPr>
      </w:pPr>
      <w:r>
        <w:rPr>
          <w:rFonts w:hint="eastAsia"/>
        </w:rPr>
        <w:t>可采取以下验证方式，包括但不限于：</w:t>
      </w:r>
    </w:p>
    <w:p w14:paraId="7481C836">
      <w:pPr>
        <w:pStyle w:val="178"/>
        <w:numPr>
          <w:ilvl w:val="0"/>
          <w:numId w:val="37"/>
        </w:numPr>
        <w:rPr>
          <w:rFonts w:eastAsiaTheme="minorEastAsia"/>
        </w:rPr>
      </w:pPr>
      <w:r>
        <w:rPr>
          <w:rFonts w:hint="eastAsia"/>
        </w:rPr>
        <w:t>现场复核。组织专家实地核查质量问题整改落地情况、体系运行实际状态；</w:t>
      </w:r>
    </w:p>
    <w:p w14:paraId="31EAAD17">
      <w:pPr>
        <w:pStyle w:val="178"/>
        <w:rPr>
          <w:rFonts w:eastAsiaTheme="minorEastAsia"/>
        </w:rPr>
      </w:pPr>
      <w:r>
        <w:rPr>
          <w:rFonts w:hint="eastAsia"/>
        </w:rPr>
        <w:t>技术检测。通过再次抽样检验、过程质量数据追溯比对、关键指标实测等方式，验证产品质量稳定性；</w:t>
      </w:r>
    </w:p>
    <w:p w14:paraId="12FF0D5F">
      <w:pPr>
        <w:pStyle w:val="178"/>
        <w:rPr>
          <w:rFonts w:eastAsiaTheme="minorEastAsia"/>
        </w:rPr>
      </w:pPr>
      <w:r>
        <w:rPr>
          <w:rFonts w:hint="eastAsia"/>
        </w:rPr>
        <w:t>资料核查。审核整改报告、体系文件、培训记录、过程台账等资料，确认工作执行完整性；</w:t>
      </w:r>
    </w:p>
    <w:p w14:paraId="5DB0A9F6">
      <w:pPr>
        <w:pStyle w:val="178"/>
        <w:rPr>
          <w:rFonts w:eastAsiaTheme="minorEastAsia"/>
        </w:rPr>
      </w:pPr>
      <w:r>
        <w:rPr>
          <w:rFonts w:hint="eastAsia"/>
        </w:rPr>
        <w:t>访谈调研。与帮扶对象相关负责人、一线员工座谈，了解质量意识、操作能力提升的实际情况；</w:t>
      </w:r>
    </w:p>
    <w:p w14:paraId="71A26518">
      <w:pPr>
        <w:pStyle w:val="178"/>
      </w:pPr>
      <w:r>
        <w:rPr>
          <w:rFonts w:hint="eastAsia"/>
        </w:rPr>
        <w:t>满意度调查。通过问卷、书面反馈等形式，收集帮扶对象的评价意见。</w:t>
      </w:r>
    </w:p>
    <w:p w14:paraId="7E0D432D">
      <w:pPr>
        <w:pStyle w:val="109"/>
        <w:spacing w:before="120" w:after="120"/>
      </w:pPr>
      <w:bookmarkStart w:id="215" w:name="_Toc208503926"/>
      <w:r>
        <w:rPr>
          <w:rFonts w:hint="eastAsia"/>
        </w:rPr>
        <w:t>持续改进</w:t>
      </w:r>
      <w:bookmarkEnd w:id="215"/>
    </w:p>
    <w:p w14:paraId="5DD7001E">
      <w:pPr>
        <w:pStyle w:val="60"/>
        <w:ind w:firstLine="420"/>
      </w:pPr>
      <w:r>
        <w:rPr>
          <w:rFonts w:hint="eastAsia"/>
        </w:rPr>
        <w:t>建立评估、反馈、优化的动态改进制度，定期分析帮扶成效数据和经营主体反馈意见，针对共性问题和薄弱环节优化帮扶策略、调整资源配置。</w:t>
      </w:r>
    </w:p>
    <w:p w14:paraId="1C2C78F6">
      <w:pPr>
        <w:pStyle w:val="108"/>
        <w:spacing w:before="240" w:after="240"/>
      </w:pPr>
      <w:bookmarkStart w:id="216" w:name="_Toc214287535"/>
      <w:bookmarkStart w:id="217" w:name="_Toc208504824"/>
      <w:bookmarkStart w:id="218" w:name="_Toc208503927"/>
      <w:bookmarkStart w:id="219" w:name="_Toc225243739"/>
      <w:bookmarkStart w:id="220" w:name="_Toc221540518"/>
      <w:bookmarkStart w:id="221" w:name="_Toc208503936"/>
      <w:bookmarkStart w:id="222" w:name="_Toc225243335"/>
      <w:bookmarkStart w:id="223" w:name="_Toc228970190"/>
      <w:bookmarkStart w:id="224" w:name="_Toc228969806"/>
      <w:bookmarkStart w:id="225" w:name="_Toc228970042"/>
      <w:bookmarkStart w:id="226" w:name="_Toc228969924"/>
      <w:r>
        <w:rPr>
          <w:rFonts w:hint="eastAsia"/>
        </w:rPr>
        <w:t>成果应用</w:t>
      </w:r>
      <w:bookmarkEnd w:id="216"/>
      <w:bookmarkEnd w:id="217"/>
      <w:bookmarkEnd w:id="218"/>
      <w:bookmarkEnd w:id="219"/>
      <w:bookmarkEnd w:id="220"/>
      <w:bookmarkEnd w:id="221"/>
      <w:bookmarkEnd w:id="222"/>
      <w:bookmarkEnd w:id="223"/>
      <w:bookmarkEnd w:id="224"/>
      <w:bookmarkEnd w:id="225"/>
      <w:bookmarkEnd w:id="226"/>
    </w:p>
    <w:p w14:paraId="712924B8">
      <w:pPr>
        <w:pStyle w:val="166"/>
      </w:pPr>
      <w:r>
        <w:rPr>
          <w:rFonts w:ascii="黑体" w:hAnsi="黑体" w:eastAsia="黑体"/>
        </w:rPr>
        <w:t xml:space="preserve">8.1 </w:t>
      </w:r>
      <w:r>
        <w:rPr>
          <w:rFonts w:hint="eastAsia"/>
          <w:shd w:val="clear" w:color="auto" w:fill="FFFFFF"/>
        </w:rPr>
        <w:t>基于帮扶过程中梳理的行业共性质量问题、区域性质量短板，动态调整年度质量安全服务重点及监管工作方向，同时整合帮扶数据、整改成效数据等，完善质量安全风险预警指标体系、建立产品质量档案库，为监管决策提供数据支撑。</w:t>
      </w:r>
    </w:p>
    <w:p w14:paraId="1254568F">
      <w:pPr>
        <w:pStyle w:val="166"/>
      </w:pPr>
      <w:r>
        <w:rPr>
          <w:rFonts w:ascii="黑体" w:hAnsi="黑体" w:eastAsia="黑体"/>
        </w:rPr>
        <w:t xml:space="preserve">8.2 </w:t>
      </w:r>
      <w:r>
        <w:rPr>
          <w:rFonts w:hint="eastAsia"/>
          <w:shd w:val="clear" w:color="auto" w:fill="FFFFFF"/>
        </w:rPr>
        <w:t>编制质量提升指南、典型案例汇编，将成熟的帮扶技术、管理方法、工作模式转化为行业标准或规范性文件；依托成果共享平台公开可推广的质量信用信息、帮扶典型案例，通过线上服务平台、行业研讨会、技术交流会、现场观摩会等形式搭建成果共享渠道，推动帮扶经验在更广领域落地应用；建立帮扶成果跟踪制度与案例数据库，对成果应用效果进行持续跟踪、动态管理</w:t>
      </w:r>
      <w:r>
        <w:rPr>
          <w:rFonts w:hint="eastAsia"/>
        </w:rPr>
        <w:t>。</w:t>
      </w:r>
    </w:p>
    <w:p w14:paraId="48896C8A">
      <w:pPr>
        <w:pStyle w:val="166"/>
        <w:numPr>
          <w:ilvl w:val="2"/>
          <w:numId w:val="38"/>
        </w:numPr>
        <w:ind w:left="284"/>
        <w:jc w:val="left"/>
        <w:rPr>
          <w:rFonts w:ascii="Times New Roman"/>
        </w:rPr>
        <w:sectPr>
          <w:footerReference r:id="rId14" w:type="default"/>
          <w:pgSz w:w="11906" w:h="16838"/>
          <w:pgMar w:top="1928" w:right="1134" w:bottom="1134" w:left="1134" w:header="1418" w:footer="1134" w:gutter="284"/>
          <w:pgNumType w:start="1"/>
          <w:cols w:space="425" w:num="1"/>
          <w:formProt w:val="0"/>
          <w:docGrid w:linePitch="312" w:charSpace="0"/>
        </w:sectPr>
      </w:pPr>
    </w:p>
    <w:bookmarkEnd w:id="34"/>
    <w:p w14:paraId="5B15B3A3">
      <w:pPr>
        <w:pStyle w:val="202"/>
        <w:rPr>
          <w:vanish w:val="0"/>
        </w:rPr>
      </w:pPr>
      <w:bookmarkStart w:id="227" w:name="BookMark5"/>
    </w:p>
    <w:p w14:paraId="6A995552">
      <w:pPr>
        <w:pStyle w:val="203"/>
        <w:rPr>
          <w:vanish w:val="0"/>
        </w:rPr>
      </w:pPr>
    </w:p>
    <w:p w14:paraId="176B1437">
      <w:pPr>
        <w:pStyle w:val="80"/>
        <w:spacing w:after="120"/>
      </w:pPr>
      <w:r>
        <w:br w:type="textWrapping"/>
      </w:r>
      <w:bookmarkStart w:id="228" w:name="_Toc221540519"/>
      <w:bookmarkStart w:id="229" w:name="_Toc228970043"/>
      <w:bookmarkStart w:id="230" w:name="_Toc214287536"/>
      <w:bookmarkStart w:id="231" w:name="_Toc225243740"/>
      <w:bookmarkStart w:id="232" w:name="_Toc208504825"/>
      <w:bookmarkStart w:id="233" w:name="_Toc228969807"/>
      <w:bookmarkStart w:id="234" w:name="_Toc228969925"/>
      <w:bookmarkStart w:id="235" w:name="_Toc225243336"/>
      <w:bookmarkStart w:id="236" w:name="_Toc228970191"/>
      <w:r>
        <w:rPr>
          <w:rFonts w:hint="eastAsia"/>
        </w:rPr>
        <w:t>（资料性）</w:t>
      </w:r>
      <w:r>
        <w:br w:type="textWrapping"/>
      </w:r>
      <w:r>
        <w:t>质量技术帮扶申请表</w:t>
      </w:r>
      <w:bookmarkEnd w:id="228"/>
      <w:bookmarkEnd w:id="229"/>
      <w:bookmarkEnd w:id="230"/>
      <w:bookmarkEnd w:id="231"/>
      <w:bookmarkEnd w:id="232"/>
      <w:bookmarkEnd w:id="233"/>
      <w:bookmarkEnd w:id="234"/>
      <w:bookmarkEnd w:id="235"/>
      <w:bookmarkEnd w:id="236"/>
    </w:p>
    <w:p w14:paraId="01F34B44">
      <w:pPr>
        <w:pStyle w:val="60"/>
        <w:ind w:firstLine="420"/>
        <w:rPr>
          <w:szCs w:val="21"/>
        </w:rPr>
      </w:pPr>
      <w:r>
        <w:rPr>
          <w:rFonts w:hint="eastAsia"/>
        </w:rPr>
        <w:t>表A</w:t>
      </w:r>
      <w:r>
        <w:t>.1</w:t>
      </w:r>
      <w:r>
        <w:rPr>
          <w:rFonts w:hint="eastAsia"/>
        </w:rPr>
        <w:t>给出了</w:t>
      </w:r>
      <w:r>
        <w:t>质量技术帮扶申请表</w:t>
      </w:r>
      <w:r>
        <w:rPr>
          <w:rFonts w:hint="eastAsia"/>
        </w:rPr>
        <w:t>。</w:t>
      </w:r>
    </w:p>
    <w:p w14:paraId="6D9B158A">
      <w:pPr>
        <w:pStyle w:val="81"/>
        <w:spacing w:before="120" w:after="120"/>
      </w:pPr>
      <w:r>
        <w:rPr>
          <w:rFonts w:hint="eastAsia" w:hAnsi="黑体"/>
        </w:rPr>
        <w:t xml:space="preserve"> </w:t>
      </w:r>
      <w:bookmarkStart w:id="237" w:name="_Toc228969926"/>
      <w:bookmarkStart w:id="238" w:name="_Toc228969808"/>
      <w:bookmarkStart w:id="239" w:name="_Toc228970044"/>
      <w:bookmarkStart w:id="240" w:name="_Toc228970192"/>
      <w:r>
        <w:t>质量技术帮扶申请表</w:t>
      </w:r>
      <w:bookmarkEnd w:id="237"/>
      <w:bookmarkEnd w:id="238"/>
      <w:bookmarkEnd w:id="239"/>
      <w:bookmarkEnd w:id="240"/>
    </w:p>
    <w:tbl>
      <w:tblPr>
        <w:tblStyle w:val="29"/>
        <w:tblW w:w="9072" w:type="dxa"/>
        <w:tblInd w:w="-5"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2268"/>
        <w:gridCol w:w="2552"/>
        <w:gridCol w:w="1134"/>
        <w:gridCol w:w="3118"/>
      </w:tblGrid>
      <w:tr w14:paraId="7FCF2E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2268" w:type="dxa"/>
            <w:tcBorders>
              <w:top w:val="single" w:color="auto" w:sz="8" w:space="0"/>
              <w:bottom w:val="single" w:color="auto" w:sz="8" w:space="0"/>
            </w:tcBorders>
            <w:shd w:val="clear" w:color="auto" w:fill="auto"/>
            <w:tcMar>
              <w:top w:w="60" w:type="dxa"/>
              <w:left w:w="120" w:type="dxa"/>
              <w:bottom w:w="30" w:type="dxa"/>
              <w:right w:w="120" w:type="dxa"/>
            </w:tcMar>
            <w:vAlign w:val="center"/>
          </w:tcPr>
          <w:p w14:paraId="719644EB">
            <w:pPr>
              <w:pStyle w:val="246"/>
              <w:spacing w:line="240" w:lineRule="auto"/>
              <w:rPr>
                <w:rFonts w:ascii="宋体" w:hAnsi="宋体" w:eastAsia="宋体"/>
                <w:sz w:val="18"/>
                <w:szCs w:val="18"/>
              </w:rPr>
            </w:pPr>
            <w:r>
              <w:rPr>
                <w:rFonts w:ascii="宋体" w:hAnsi="宋体" w:eastAsia="宋体"/>
                <w:sz w:val="18"/>
                <w:szCs w:val="18"/>
              </w:rPr>
              <w:t>单位名称（全称）</w:t>
            </w:r>
          </w:p>
        </w:tc>
        <w:tc>
          <w:tcPr>
            <w:tcW w:w="6804" w:type="dxa"/>
            <w:gridSpan w:val="3"/>
            <w:tcBorders>
              <w:top w:val="single" w:color="auto" w:sz="8" w:space="0"/>
              <w:bottom w:val="single" w:color="auto" w:sz="8" w:space="0"/>
            </w:tcBorders>
            <w:shd w:val="clear" w:color="auto" w:fill="auto"/>
            <w:tcMar>
              <w:top w:w="60" w:type="dxa"/>
              <w:left w:w="120" w:type="dxa"/>
              <w:bottom w:w="30" w:type="dxa"/>
              <w:right w:w="120" w:type="dxa"/>
            </w:tcMar>
            <w:vAlign w:val="center"/>
          </w:tcPr>
          <w:p w14:paraId="2CDEF0F8">
            <w:pPr>
              <w:pStyle w:val="246"/>
              <w:spacing w:line="240" w:lineRule="auto"/>
              <w:rPr>
                <w:rFonts w:ascii="宋体" w:hAnsi="宋体" w:eastAsia="宋体"/>
                <w:sz w:val="18"/>
                <w:szCs w:val="18"/>
              </w:rPr>
            </w:pPr>
          </w:p>
        </w:tc>
      </w:tr>
      <w:tr w14:paraId="578969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2268" w:type="dxa"/>
            <w:tcBorders>
              <w:top w:val="single" w:color="auto" w:sz="8" w:space="0"/>
            </w:tcBorders>
            <w:shd w:val="clear" w:color="auto" w:fill="auto"/>
            <w:tcMar>
              <w:top w:w="60" w:type="dxa"/>
              <w:left w:w="120" w:type="dxa"/>
              <w:bottom w:w="30" w:type="dxa"/>
              <w:right w:w="120" w:type="dxa"/>
            </w:tcMar>
            <w:vAlign w:val="center"/>
          </w:tcPr>
          <w:p w14:paraId="4A44B24A">
            <w:pPr>
              <w:pStyle w:val="246"/>
              <w:spacing w:line="240" w:lineRule="auto"/>
              <w:rPr>
                <w:rFonts w:ascii="宋体" w:hAnsi="宋体" w:eastAsia="宋体"/>
                <w:sz w:val="18"/>
                <w:szCs w:val="18"/>
              </w:rPr>
            </w:pPr>
            <w:r>
              <w:rPr>
                <w:rFonts w:ascii="宋体" w:hAnsi="宋体" w:eastAsia="宋体"/>
                <w:sz w:val="18"/>
                <w:szCs w:val="18"/>
              </w:rPr>
              <w:t>生产 / 经营地址</w:t>
            </w:r>
          </w:p>
        </w:tc>
        <w:tc>
          <w:tcPr>
            <w:tcW w:w="6804" w:type="dxa"/>
            <w:gridSpan w:val="3"/>
            <w:tcBorders>
              <w:top w:val="single" w:color="auto" w:sz="8" w:space="0"/>
            </w:tcBorders>
            <w:shd w:val="clear" w:color="auto" w:fill="auto"/>
            <w:tcMar>
              <w:top w:w="60" w:type="dxa"/>
              <w:left w:w="120" w:type="dxa"/>
              <w:bottom w:w="30" w:type="dxa"/>
              <w:right w:w="120" w:type="dxa"/>
            </w:tcMar>
            <w:vAlign w:val="center"/>
          </w:tcPr>
          <w:p w14:paraId="4878A61C">
            <w:pPr>
              <w:pStyle w:val="246"/>
              <w:spacing w:line="240" w:lineRule="auto"/>
              <w:rPr>
                <w:rFonts w:ascii="宋体" w:hAnsi="宋体" w:eastAsia="宋体"/>
                <w:sz w:val="18"/>
                <w:szCs w:val="18"/>
              </w:rPr>
            </w:pPr>
          </w:p>
        </w:tc>
      </w:tr>
      <w:tr w14:paraId="1FBF8B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2268" w:type="dxa"/>
            <w:shd w:val="clear" w:color="auto" w:fill="auto"/>
            <w:tcMar>
              <w:top w:w="60" w:type="dxa"/>
              <w:left w:w="120" w:type="dxa"/>
              <w:bottom w:w="30" w:type="dxa"/>
              <w:right w:w="120" w:type="dxa"/>
            </w:tcMar>
            <w:vAlign w:val="center"/>
          </w:tcPr>
          <w:p w14:paraId="4D967C82">
            <w:pPr>
              <w:pStyle w:val="246"/>
              <w:spacing w:line="240" w:lineRule="auto"/>
              <w:rPr>
                <w:rFonts w:ascii="宋体" w:hAnsi="宋体" w:eastAsia="宋体"/>
                <w:sz w:val="18"/>
                <w:szCs w:val="18"/>
              </w:rPr>
            </w:pPr>
            <w:r>
              <w:rPr>
                <w:rFonts w:ascii="宋体" w:hAnsi="宋体" w:eastAsia="宋体"/>
                <w:sz w:val="18"/>
                <w:szCs w:val="18"/>
              </w:rPr>
              <w:t>联系人/职务</w:t>
            </w:r>
          </w:p>
        </w:tc>
        <w:tc>
          <w:tcPr>
            <w:tcW w:w="2552" w:type="dxa"/>
            <w:shd w:val="clear" w:color="auto" w:fill="auto"/>
            <w:tcMar>
              <w:top w:w="60" w:type="dxa"/>
              <w:left w:w="120" w:type="dxa"/>
              <w:bottom w:w="30" w:type="dxa"/>
              <w:right w:w="120" w:type="dxa"/>
            </w:tcMar>
            <w:vAlign w:val="center"/>
          </w:tcPr>
          <w:p w14:paraId="21336809">
            <w:pPr>
              <w:pStyle w:val="246"/>
              <w:spacing w:line="240" w:lineRule="auto"/>
              <w:rPr>
                <w:rFonts w:ascii="宋体" w:hAnsi="宋体" w:eastAsia="宋体"/>
                <w:sz w:val="18"/>
                <w:szCs w:val="18"/>
              </w:rPr>
            </w:pPr>
          </w:p>
        </w:tc>
        <w:tc>
          <w:tcPr>
            <w:tcW w:w="1134" w:type="dxa"/>
            <w:shd w:val="clear" w:color="auto" w:fill="auto"/>
            <w:vAlign w:val="center"/>
          </w:tcPr>
          <w:p w14:paraId="4C2AEED2">
            <w:pPr>
              <w:pStyle w:val="246"/>
              <w:spacing w:line="240" w:lineRule="auto"/>
              <w:rPr>
                <w:rFonts w:ascii="宋体" w:hAnsi="宋体" w:eastAsia="宋体"/>
                <w:sz w:val="18"/>
                <w:szCs w:val="18"/>
              </w:rPr>
            </w:pPr>
            <w:r>
              <w:rPr>
                <w:rFonts w:ascii="宋体" w:hAnsi="宋体" w:eastAsia="宋体"/>
                <w:sz w:val="18"/>
                <w:szCs w:val="18"/>
              </w:rPr>
              <w:t>联系电话</w:t>
            </w:r>
          </w:p>
        </w:tc>
        <w:tc>
          <w:tcPr>
            <w:tcW w:w="3118" w:type="dxa"/>
            <w:shd w:val="clear" w:color="auto" w:fill="auto"/>
            <w:vAlign w:val="center"/>
          </w:tcPr>
          <w:p w14:paraId="2618C80E">
            <w:pPr>
              <w:pStyle w:val="246"/>
              <w:spacing w:line="240" w:lineRule="auto"/>
              <w:rPr>
                <w:rFonts w:ascii="宋体" w:hAnsi="宋体" w:eastAsia="宋体"/>
                <w:sz w:val="18"/>
                <w:szCs w:val="18"/>
              </w:rPr>
            </w:pPr>
          </w:p>
        </w:tc>
      </w:tr>
      <w:tr w14:paraId="50EF63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2268" w:type="dxa"/>
            <w:shd w:val="clear" w:color="auto" w:fill="auto"/>
            <w:tcMar>
              <w:top w:w="60" w:type="dxa"/>
              <w:left w:w="120" w:type="dxa"/>
              <w:bottom w:w="30" w:type="dxa"/>
              <w:right w:w="120" w:type="dxa"/>
            </w:tcMar>
            <w:vAlign w:val="center"/>
          </w:tcPr>
          <w:p w14:paraId="1262A1E5">
            <w:pPr>
              <w:pStyle w:val="246"/>
              <w:spacing w:line="240" w:lineRule="auto"/>
              <w:rPr>
                <w:rFonts w:ascii="宋体" w:hAnsi="宋体" w:eastAsia="宋体"/>
                <w:sz w:val="18"/>
                <w:szCs w:val="18"/>
              </w:rPr>
            </w:pPr>
            <w:r>
              <w:rPr>
                <w:rFonts w:ascii="宋体" w:hAnsi="宋体" w:eastAsia="宋体"/>
                <w:sz w:val="18"/>
                <w:szCs w:val="18"/>
              </w:rPr>
              <w:t>所属行业</w:t>
            </w:r>
          </w:p>
        </w:tc>
        <w:tc>
          <w:tcPr>
            <w:tcW w:w="2552" w:type="dxa"/>
            <w:shd w:val="clear" w:color="auto" w:fill="auto"/>
            <w:tcMar>
              <w:top w:w="60" w:type="dxa"/>
              <w:left w:w="120" w:type="dxa"/>
              <w:bottom w:w="30" w:type="dxa"/>
              <w:right w:w="120" w:type="dxa"/>
            </w:tcMar>
            <w:vAlign w:val="center"/>
          </w:tcPr>
          <w:p w14:paraId="6CE99C0A">
            <w:pPr>
              <w:pStyle w:val="246"/>
              <w:spacing w:line="240" w:lineRule="auto"/>
              <w:rPr>
                <w:rFonts w:ascii="宋体" w:hAnsi="宋体" w:eastAsia="宋体"/>
                <w:sz w:val="18"/>
                <w:szCs w:val="18"/>
              </w:rPr>
            </w:pPr>
          </w:p>
        </w:tc>
        <w:tc>
          <w:tcPr>
            <w:tcW w:w="1134" w:type="dxa"/>
            <w:shd w:val="clear" w:color="auto" w:fill="auto"/>
            <w:vAlign w:val="center"/>
          </w:tcPr>
          <w:p w14:paraId="59142145">
            <w:pPr>
              <w:pStyle w:val="246"/>
              <w:spacing w:line="240" w:lineRule="auto"/>
              <w:rPr>
                <w:rFonts w:ascii="宋体" w:hAnsi="宋体" w:eastAsia="宋体"/>
                <w:sz w:val="18"/>
                <w:szCs w:val="18"/>
              </w:rPr>
            </w:pPr>
            <w:r>
              <w:rPr>
                <w:rFonts w:ascii="宋体" w:hAnsi="宋体" w:eastAsia="宋体"/>
                <w:sz w:val="18"/>
                <w:szCs w:val="18"/>
              </w:rPr>
              <w:t>企业规模</w:t>
            </w:r>
          </w:p>
        </w:tc>
        <w:tc>
          <w:tcPr>
            <w:tcW w:w="3118" w:type="dxa"/>
            <w:shd w:val="clear" w:color="auto" w:fill="auto"/>
            <w:vAlign w:val="center"/>
          </w:tcPr>
          <w:p w14:paraId="744D34CC">
            <w:pPr>
              <w:pStyle w:val="246"/>
              <w:spacing w:line="240" w:lineRule="auto"/>
              <w:rPr>
                <w:rFonts w:ascii="宋体" w:hAnsi="宋体" w:eastAsia="宋体"/>
                <w:sz w:val="18"/>
                <w:szCs w:val="18"/>
              </w:rPr>
            </w:pPr>
            <w:r>
              <w:rPr>
                <w:rFonts w:ascii="宋体" w:hAnsi="宋体" w:eastAsia="宋体"/>
                <w:sz w:val="18"/>
                <w:szCs w:val="18"/>
              </w:rPr>
              <w:t>□ 大型 □ 中型 □ 小型 □ 微型</w:t>
            </w:r>
          </w:p>
        </w:tc>
      </w:tr>
      <w:tr w14:paraId="38D400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2268" w:type="dxa"/>
            <w:shd w:val="clear" w:color="auto" w:fill="auto"/>
            <w:tcMar>
              <w:top w:w="60" w:type="dxa"/>
              <w:left w:w="120" w:type="dxa"/>
              <w:bottom w:w="30" w:type="dxa"/>
              <w:right w:w="120" w:type="dxa"/>
            </w:tcMar>
            <w:vAlign w:val="center"/>
          </w:tcPr>
          <w:p w14:paraId="0AB7EE20">
            <w:pPr>
              <w:pStyle w:val="246"/>
              <w:spacing w:line="240" w:lineRule="auto"/>
              <w:rPr>
                <w:rFonts w:ascii="宋体" w:hAnsi="宋体" w:eastAsia="宋体"/>
                <w:sz w:val="18"/>
                <w:szCs w:val="18"/>
              </w:rPr>
            </w:pPr>
            <w:r>
              <w:rPr>
                <w:rFonts w:ascii="宋体" w:hAnsi="宋体" w:eastAsia="宋体"/>
                <w:sz w:val="18"/>
                <w:szCs w:val="18"/>
              </w:rPr>
              <w:t>质量问题及帮扶诉求（核心必填）</w:t>
            </w:r>
          </w:p>
        </w:tc>
        <w:tc>
          <w:tcPr>
            <w:tcW w:w="6804" w:type="dxa"/>
            <w:gridSpan w:val="3"/>
            <w:shd w:val="clear" w:color="auto" w:fill="auto"/>
            <w:tcMar>
              <w:top w:w="60" w:type="dxa"/>
              <w:left w:w="120" w:type="dxa"/>
              <w:bottom w:w="30" w:type="dxa"/>
              <w:right w:w="120" w:type="dxa"/>
            </w:tcMar>
            <w:vAlign w:val="center"/>
          </w:tcPr>
          <w:p w14:paraId="4D36F387">
            <w:pPr>
              <w:pStyle w:val="246"/>
              <w:spacing w:line="240" w:lineRule="auto"/>
              <w:rPr>
                <w:rFonts w:ascii="宋体" w:hAnsi="宋体" w:eastAsia="宋体"/>
                <w:sz w:val="18"/>
                <w:szCs w:val="18"/>
              </w:rPr>
            </w:pPr>
            <w:r>
              <w:rPr>
                <w:rFonts w:ascii="宋体" w:hAnsi="宋体" w:eastAsia="宋体"/>
                <w:sz w:val="18"/>
                <w:szCs w:val="18"/>
              </w:rPr>
              <w:t>1. 质量问题描述（可附检测报告 / 不合格通知书等佐证材料）：</w:t>
            </w:r>
          </w:p>
          <w:p w14:paraId="50295AD5">
            <w:pPr>
              <w:pStyle w:val="246"/>
              <w:spacing w:line="240" w:lineRule="auto"/>
              <w:rPr>
                <w:rFonts w:ascii="宋体" w:hAnsi="宋体" w:eastAsia="宋体"/>
                <w:sz w:val="18"/>
                <w:szCs w:val="18"/>
              </w:rPr>
            </w:pPr>
            <w:r>
              <w:rPr>
                <w:rFonts w:ascii="宋体" w:hAnsi="宋体" w:eastAsia="宋体"/>
                <w:sz w:val="18"/>
                <w:szCs w:val="18"/>
              </w:rPr>
              <w:t xml:space="preserve">□ 监督抽查不合格 □ 生产过程质量波动 □ 体系建设不完善 </w:t>
            </w:r>
          </w:p>
          <w:p w14:paraId="5D8E8095">
            <w:pPr>
              <w:pStyle w:val="246"/>
              <w:spacing w:line="240" w:lineRule="auto"/>
              <w:rPr>
                <w:rFonts w:ascii="宋体" w:hAnsi="宋体" w:eastAsia="宋体"/>
                <w:sz w:val="18"/>
                <w:szCs w:val="18"/>
              </w:rPr>
            </w:pPr>
            <w:r>
              <w:rPr>
                <w:rFonts w:ascii="宋体" w:hAnsi="宋体" w:eastAsia="宋体"/>
                <w:sz w:val="18"/>
                <w:szCs w:val="18"/>
              </w:rPr>
              <w:t xml:space="preserve">□ 技术瓶颈（如设计 / 工艺 / 检测） □ 行业共性问题 </w:t>
            </w:r>
          </w:p>
          <w:p w14:paraId="3EE7C0DA">
            <w:pPr>
              <w:pStyle w:val="246"/>
              <w:spacing w:line="240" w:lineRule="auto"/>
              <w:rPr>
                <w:rFonts w:ascii="宋体" w:hAnsi="宋体" w:eastAsia="宋体"/>
                <w:sz w:val="18"/>
                <w:szCs w:val="18"/>
              </w:rPr>
            </w:pPr>
            <w:r>
              <w:rPr>
                <w:rFonts w:ascii="宋体" w:hAnsi="宋体" w:eastAsia="宋体"/>
                <w:sz w:val="18"/>
                <w:szCs w:val="18"/>
              </w:rPr>
              <w:t>□ 其他：________具体表现：____________________________</w:t>
            </w:r>
          </w:p>
          <w:p w14:paraId="5BDE342D">
            <w:pPr>
              <w:pStyle w:val="246"/>
              <w:spacing w:line="240" w:lineRule="auto"/>
              <w:rPr>
                <w:rFonts w:ascii="宋体" w:hAnsi="宋体" w:eastAsia="宋体"/>
                <w:sz w:val="18"/>
                <w:szCs w:val="18"/>
              </w:rPr>
            </w:pPr>
            <w:r>
              <w:rPr>
                <w:rFonts w:ascii="宋体" w:hAnsi="宋体" w:eastAsia="宋体"/>
                <w:sz w:val="18"/>
                <w:szCs w:val="18"/>
              </w:rPr>
              <w:t>2. 帮扶核心诉求：□ 现场诊断与问题溯源 □ 质量管理体系搭建</w:t>
            </w:r>
          </w:p>
          <w:p w14:paraId="76847909">
            <w:pPr>
              <w:pStyle w:val="246"/>
              <w:spacing w:line="240" w:lineRule="auto"/>
              <w:rPr>
                <w:rFonts w:ascii="宋体" w:hAnsi="宋体" w:eastAsia="宋体"/>
                <w:sz w:val="18"/>
                <w:szCs w:val="18"/>
              </w:rPr>
            </w:pPr>
            <w:r>
              <w:rPr>
                <w:rFonts w:ascii="宋体" w:hAnsi="宋体" w:eastAsia="宋体"/>
                <w:sz w:val="18"/>
                <w:szCs w:val="18"/>
              </w:rPr>
              <w:t xml:space="preserve">□ 标准解读与应用 □ 检测技能培训 □ 定制化改进方案 </w:t>
            </w:r>
          </w:p>
          <w:p w14:paraId="5324548A">
            <w:pPr>
              <w:pStyle w:val="246"/>
              <w:spacing w:line="240" w:lineRule="auto"/>
              <w:rPr>
                <w:rFonts w:ascii="宋体" w:hAnsi="宋体" w:eastAsia="宋体"/>
                <w:sz w:val="18"/>
                <w:szCs w:val="18"/>
              </w:rPr>
            </w:pPr>
            <w:r>
              <w:rPr>
                <w:rFonts w:ascii="宋体" w:hAnsi="宋体" w:eastAsia="宋体"/>
                <w:sz w:val="18"/>
                <w:szCs w:val="18"/>
              </w:rPr>
              <w:t>□ 其他：____________________________</w:t>
            </w:r>
          </w:p>
          <w:p w14:paraId="33CC1F28">
            <w:pPr>
              <w:pStyle w:val="246"/>
              <w:spacing w:line="240" w:lineRule="auto"/>
              <w:rPr>
                <w:rFonts w:ascii="宋体" w:hAnsi="宋体" w:eastAsia="宋体"/>
                <w:sz w:val="18"/>
                <w:szCs w:val="18"/>
              </w:rPr>
            </w:pPr>
            <w:r>
              <w:rPr>
                <w:rFonts w:ascii="宋体" w:hAnsi="宋体" w:eastAsia="宋体"/>
                <w:sz w:val="18"/>
                <w:szCs w:val="18"/>
              </w:rPr>
              <w:t>3. 已采取的自查 / 整改措施（如有）：</w:t>
            </w:r>
          </w:p>
        </w:tc>
      </w:tr>
      <w:tr w14:paraId="5FFA89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976" w:hRule="atLeast"/>
        </w:trPr>
        <w:tc>
          <w:tcPr>
            <w:tcW w:w="2268" w:type="dxa"/>
            <w:shd w:val="clear" w:color="auto" w:fill="auto"/>
            <w:tcMar>
              <w:top w:w="60" w:type="dxa"/>
              <w:left w:w="120" w:type="dxa"/>
              <w:bottom w:w="30" w:type="dxa"/>
              <w:right w:w="120" w:type="dxa"/>
            </w:tcMar>
            <w:vAlign w:val="center"/>
          </w:tcPr>
          <w:p w14:paraId="3811AC63">
            <w:pPr>
              <w:pStyle w:val="246"/>
              <w:spacing w:line="240" w:lineRule="auto"/>
              <w:rPr>
                <w:rFonts w:ascii="宋体" w:hAnsi="宋体" w:eastAsia="宋体"/>
                <w:sz w:val="18"/>
                <w:szCs w:val="18"/>
              </w:rPr>
            </w:pPr>
            <w:r>
              <w:rPr>
                <w:rFonts w:ascii="宋体" w:hAnsi="宋体" w:eastAsia="宋体"/>
                <w:sz w:val="18"/>
                <w:szCs w:val="18"/>
              </w:rPr>
              <w:t>整改意愿及配合承诺</w:t>
            </w:r>
          </w:p>
        </w:tc>
        <w:tc>
          <w:tcPr>
            <w:tcW w:w="6804" w:type="dxa"/>
            <w:gridSpan w:val="3"/>
            <w:shd w:val="clear" w:color="auto" w:fill="auto"/>
            <w:tcMar>
              <w:top w:w="60" w:type="dxa"/>
              <w:left w:w="120" w:type="dxa"/>
              <w:bottom w:w="30" w:type="dxa"/>
              <w:right w:w="120" w:type="dxa"/>
            </w:tcMar>
            <w:vAlign w:val="center"/>
          </w:tcPr>
          <w:p w14:paraId="190F3360">
            <w:pPr>
              <w:pStyle w:val="246"/>
              <w:spacing w:line="240" w:lineRule="auto"/>
              <w:rPr>
                <w:rFonts w:ascii="宋体" w:hAnsi="宋体" w:eastAsia="宋体"/>
                <w:sz w:val="18"/>
                <w:szCs w:val="18"/>
              </w:rPr>
            </w:pPr>
            <w:r>
              <w:rPr>
                <w:rFonts w:ascii="宋体" w:hAnsi="宋体" w:eastAsia="宋体"/>
                <w:sz w:val="18"/>
                <w:szCs w:val="18"/>
              </w:rPr>
              <w:t>1. 是否自愿配合帮扶工作并落实整改措施：□ 是 □ 否</w:t>
            </w:r>
          </w:p>
          <w:p w14:paraId="7732A271">
            <w:pPr>
              <w:pStyle w:val="246"/>
              <w:spacing w:line="240" w:lineRule="auto"/>
              <w:rPr>
                <w:rFonts w:ascii="宋体" w:hAnsi="宋体" w:eastAsia="宋体"/>
                <w:sz w:val="18"/>
                <w:szCs w:val="18"/>
              </w:rPr>
            </w:pPr>
            <w:r>
              <w:rPr>
                <w:rFonts w:ascii="宋体" w:hAnsi="宋体" w:eastAsia="宋体"/>
                <w:sz w:val="18"/>
                <w:szCs w:val="18"/>
              </w:rPr>
              <w:t>2. 承诺：本单位所填信息真实有效，愿意提供必要的生产经营资料、配合现场核查及帮扶活动开展，执行帮扶方案中的改进要求。</w:t>
            </w:r>
          </w:p>
          <w:p w14:paraId="6C8ECE92">
            <w:pPr>
              <w:pStyle w:val="246"/>
              <w:spacing w:line="240" w:lineRule="auto"/>
              <w:rPr>
                <w:rFonts w:ascii="宋体" w:hAnsi="宋体" w:eastAsia="宋体"/>
                <w:sz w:val="18"/>
                <w:szCs w:val="18"/>
              </w:rPr>
            </w:pPr>
          </w:p>
          <w:p w14:paraId="3D97AB41">
            <w:pPr>
              <w:pStyle w:val="246"/>
              <w:spacing w:line="240" w:lineRule="auto"/>
              <w:ind w:firstLine="2160" w:firstLineChars="1200"/>
              <w:rPr>
                <w:rFonts w:ascii="宋体" w:hAnsi="宋体" w:eastAsia="宋体"/>
                <w:sz w:val="18"/>
                <w:szCs w:val="18"/>
              </w:rPr>
            </w:pPr>
            <w:r>
              <w:rPr>
                <w:rFonts w:ascii="宋体" w:hAnsi="宋体" w:eastAsia="宋体"/>
                <w:sz w:val="18"/>
                <w:szCs w:val="18"/>
              </w:rPr>
              <w:t>（单位盖章）</w:t>
            </w:r>
          </w:p>
          <w:p w14:paraId="7E91ABF5">
            <w:pPr>
              <w:pStyle w:val="246"/>
              <w:spacing w:line="240" w:lineRule="auto"/>
              <w:rPr>
                <w:rFonts w:ascii="宋体" w:hAnsi="宋体" w:eastAsia="宋体"/>
                <w:sz w:val="18"/>
                <w:szCs w:val="18"/>
              </w:rPr>
            </w:pPr>
            <w:r>
              <w:rPr>
                <w:rFonts w:ascii="宋体" w:hAnsi="宋体" w:eastAsia="宋体"/>
                <w:sz w:val="18"/>
                <w:szCs w:val="18"/>
              </w:rPr>
              <w:t xml:space="preserve">                                法定代表人 / 授权委托人签字：__________</w:t>
            </w:r>
          </w:p>
          <w:p w14:paraId="357EE3EB">
            <w:pPr>
              <w:pStyle w:val="246"/>
              <w:spacing w:line="240" w:lineRule="auto"/>
              <w:rPr>
                <w:rFonts w:ascii="宋体" w:hAnsi="宋体" w:eastAsia="宋体"/>
                <w:sz w:val="18"/>
                <w:szCs w:val="18"/>
              </w:rPr>
            </w:pPr>
            <w:r>
              <w:rPr>
                <w:rFonts w:ascii="宋体" w:hAnsi="宋体" w:eastAsia="宋体"/>
                <w:sz w:val="18"/>
                <w:szCs w:val="18"/>
              </w:rPr>
              <w:t xml:space="preserve">                                         日期：______年____月____日</w:t>
            </w:r>
          </w:p>
        </w:tc>
      </w:tr>
      <w:tr w14:paraId="6478B2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320" w:hRule="atLeast"/>
        </w:trPr>
        <w:tc>
          <w:tcPr>
            <w:tcW w:w="2268" w:type="dxa"/>
            <w:shd w:val="clear" w:color="auto" w:fill="auto"/>
            <w:tcMar>
              <w:top w:w="60" w:type="dxa"/>
              <w:left w:w="120" w:type="dxa"/>
              <w:bottom w:w="30" w:type="dxa"/>
              <w:right w:w="120" w:type="dxa"/>
            </w:tcMar>
            <w:vAlign w:val="center"/>
          </w:tcPr>
          <w:p w14:paraId="29764F39">
            <w:pPr>
              <w:pStyle w:val="246"/>
              <w:spacing w:line="240" w:lineRule="auto"/>
              <w:rPr>
                <w:rFonts w:ascii="宋体" w:hAnsi="宋体" w:eastAsia="宋体"/>
                <w:sz w:val="18"/>
                <w:szCs w:val="18"/>
              </w:rPr>
            </w:pPr>
            <w:r>
              <w:rPr>
                <w:rFonts w:ascii="宋体" w:hAnsi="宋体" w:eastAsia="宋体"/>
                <w:sz w:val="18"/>
                <w:szCs w:val="18"/>
              </w:rPr>
              <w:t>备注</w:t>
            </w:r>
          </w:p>
        </w:tc>
        <w:tc>
          <w:tcPr>
            <w:tcW w:w="6804" w:type="dxa"/>
            <w:gridSpan w:val="3"/>
            <w:shd w:val="clear" w:color="auto" w:fill="auto"/>
            <w:tcMar>
              <w:top w:w="60" w:type="dxa"/>
              <w:left w:w="120" w:type="dxa"/>
              <w:bottom w:w="30" w:type="dxa"/>
              <w:right w:w="120" w:type="dxa"/>
            </w:tcMar>
            <w:vAlign w:val="center"/>
          </w:tcPr>
          <w:p w14:paraId="3AC9FB86">
            <w:pPr>
              <w:pStyle w:val="246"/>
              <w:spacing w:line="240" w:lineRule="auto"/>
              <w:rPr>
                <w:rFonts w:ascii="宋体" w:hAnsi="宋体" w:eastAsia="宋体"/>
                <w:sz w:val="18"/>
                <w:szCs w:val="18"/>
              </w:rPr>
            </w:pPr>
            <w:r>
              <w:rPr>
                <w:rFonts w:ascii="宋体" w:hAnsi="宋体" w:eastAsia="宋体"/>
                <w:sz w:val="18"/>
                <w:szCs w:val="18"/>
              </w:rPr>
              <w:t>1. 附佐证材料清单（如检测报告、不合格通知书、企业自查报告等）：________________________________</w:t>
            </w:r>
          </w:p>
          <w:p w14:paraId="71C317E5">
            <w:pPr>
              <w:pStyle w:val="246"/>
              <w:spacing w:line="240" w:lineRule="auto"/>
              <w:rPr>
                <w:rFonts w:ascii="宋体" w:hAnsi="宋体" w:eastAsia="宋体"/>
                <w:sz w:val="18"/>
                <w:szCs w:val="18"/>
              </w:rPr>
            </w:pPr>
            <w:r>
              <w:rPr>
                <w:rFonts w:ascii="宋体" w:hAnsi="宋体" w:eastAsia="宋体"/>
                <w:sz w:val="18"/>
                <w:szCs w:val="18"/>
              </w:rPr>
              <w:t>2. 本申请表一式两份，申请单位、受理单位各留存一份</w:t>
            </w:r>
          </w:p>
        </w:tc>
      </w:tr>
    </w:tbl>
    <w:p w14:paraId="280EA39D">
      <w:pPr>
        <w:pStyle w:val="60"/>
        <w:ind w:firstLine="420"/>
        <w:sectPr>
          <w:pgSz w:w="11906" w:h="16838"/>
          <w:pgMar w:top="1928" w:right="1134" w:bottom="1134" w:left="1134" w:header="1418" w:footer="1134" w:gutter="284"/>
          <w:cols w:space="425" w:num="1"/>
          <w:formProt w:val="0"/>
          <w:docGrid w:linePitch="312" w:charSpace="0"/>
        </w:sectPr>
      </w:pPr>
    </w:p>
    <w:p w14:paraId="54A79819">
      <w:pPr>
        <w:pStyle w:val="202"/>
        <w:rPr>
          <w:vanish w:val="0"/>
        </w:rPr>
      </w:pPr>
    </w:p>
    <w:p w14:paraId="3C82DDA9">
      <w:pPr>
        <w:pStyle w:val="203"/>
        <w:rPr>
          <w:vanish w:val="0"/>
        </w:rPr>
      </w:pPr>
    </w:p>
    <w:p w14:paraId="037E696D">
      <w:pPr>
        <w:pStyle w:val="80"/>
        <w:spacing w:after="120"/>
      </w:pPr>
      <w:r>
        <w:br w:type="textWrapping"/>
      </w:r>
      <w:bookmarkStart w:id="241" w:name="_Toc228969809"/>
      <w:bookmarkStart w:id="242" w:name="_Toc221540520"/>
      <w:bookmarkStart w:id="243" w:name="_Toc225243741"/>
      <w:bookmarkStart w:id="244" w:name="_Toc228970045"/>
      <w:bookmarkStart w:id="245" w:name="_Toc228970193"/>
      <w:bookmarkStart w:id="246" w:name="_Toc208504826"/>
      <w:bookmarkStart w:id="247" w:name="_Toc228969927"/>
      <w:bookmarkStart w:id="248" w:name="_Toc225243337"/>
      <w:bookmarkStart w:id="249" w:name="_Toc214287537"/>
      <w:r>
        <w:rPr>
          <w:rFonts w:hint="eastAsia"/>
        </w:rPr>
        <w:t>（资料性）</w:t>
      </w:r>
      <w:r>
        <w:br w:type="textWrapping"/>
      </w:r>
      <w:r>
        <w:rPr>
          <w:rFonts w:hint="eastAsia"/>
        </w:rPr>
        <w:t>产品质量问题原因分析表</w:t>
      </w:r>
      <w:bookmarkEnd w:id="241"/>
      <w:bookmarkEnd w:id="242"/>
      <w:bookmarkEnd w:id="243"/>
      <w:bookmarkEnd w:id="244"/>
      <w:bookmarkEnd w:id="245"/>
      <w:bookmarkEnd w:id="246"/>
      <w:bookmarkEnd w:id="247"/>
      <w:bookmarkEnd w:id="248"/>
      <w:bookmarkEnd w:id="249"/>
    </w:p>
    <w:p w14:paraId="239F2396">
      <w:pPr>
        <w:pStyle w:val="60"/>
        <w:ind w:firstLine="420"/>
        <w:rPr>
          <w:szCs w:val="21"/>
        </w:rPr>
      </w:pPr>
      <w:r>
        <w:rPr>
          <w:rFonts w:hint="eastAsia"/>
        </w:rPr>
        <w:t>表B</w:t>
      </w:r>
      <w:r>
        <w:t>.1</w:t>
      </w:r>
      <w:r>
        <w:rPr>
          <w:rFonts w:hint="eastAsia"/>
        </w:rPr>
        <w:t>给出了产品质量问题原因分析表。</w:t>
      </w:r>
    </w:p>
    <w:p w14:paraId="2B24F2AE">
      <w:pPr>
        <w:pStyle w:val="81"/>
        <w:spacing w:before="120" w:after="120"/>
      </w:pPr>
      <w:r>
        <w:rPr>
          <w:rFonts w:hint="eastAsia"/>
        </w:rPr>
        <w:t>产品质量问题原因分析表</w:t>
      </w:r>
    </w:p>
    <w:tbl>
      <w:tblPr>
        <w:tblStyle w:val="29"/>
        <w:tblW w:w="10101"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108" w:type="dxa"/>
          <w:bottom w:w="0" w:type="dxa"/>
          <w:right w:w="108" w:type="dxa"/>
        </w:tblCellMar>
      </w:tblPr>
      <w:tblGrid>
        <w:gridCol w:w="1992"/>
        <w:gridCol w:w="2107"/>
        <w:gridCol w:w="1543"/>
        <w:gridCol w:w="1743"/>
        <w:gridCol w:w="2716"/>
      </w:tblGrid>
      <w:tr w14:paraId="5B6AAA9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1992" w:type="dxa"/>
            <w:tcBorders>
              <w:top w:val="single" w:color="000000" w:sz="8" w:space="0"/>
              <w:left w:val="single" w:color="000000" w:sz="8" w:space="0"/>
              <w:bottom w:val="single" w:color="000000" w:sz="8" w:space="0"/>
              <w:right w:val="single" w:color="000000" w:sz="4" w:space="0"/>
            </w:tcBorders>
            <w:vAlign w:val="center"/>
          </w:tcPr>
          <w:p w14:paraId="437ED819">
            <w:pPr>
              <w:jc w:val="center"/>
              <w:rPr>
                <w:rFonts w:ascii="宋体" w:hAnsi="宋体"/>
                <w:sz w:val="18"/>
                <w:szCs w:val="18"/>
              </w:rPr>
            </w:pPr>
            <w:r>
              <w:rPr>
                <w:rFonts w:hint="eastAsia" w:ascii="宋体" w:hAnsi="宋体"/>
                <w:sz w:val="18"/>
                <w:szCs w:val="18"/>
              </w:rPr>
              <w:t>产品名称</w:t>
            </w:r>
          </w:p>
        </w:tc>
        <w:tc>
          <w:tcPr>
            <w:tcW w:w="2107" w:type="dxa"/>
            <w:tcBorders>
              <w:top w:val="single" w:color="000000" w:sz="8" w:space="0"/>
              <w:left w:val="single" w:color="000000" w:sz="4" w:space="0"/>
              <w:bottom w:val="single" w:color="000000" w:sz="8" w:space="0"/>
              <w:right w:val="single" w:color="000000" w:sz="4" w:space="0"/>
            </w:tcBorders>
            <w:vAlign w:val="center"/>
          </w:tcPr>
          <w:p w14:paraId="74351D95">
            <w:pPr>
              <w:jc w:val="center"/>
              <w:rPr>
                <w:rFonts w:ascii="宋体" w:hAnsi="宋体"/>
                <w:sz w:val="18"/>
                <w:szCs w:val="18"/>
              </w:rPr>
            </w:pPr>
            <w:r>
              <w:rPr>
                <w:rFonts w:hint="eastAsia" w:ascii="宋体" w:hAnsi="宋体"/>
                <w:sz w:val="18"/>
                <w:szCs w:val="18"/>
              </w:rPr>
              <w:t>规格型号</w:t>
            </w:r>
          </w:p>
        </w:tc>
        <w:tc>
          <w:tcPr>
            <w:tcW w:w="1543" w:type="dxa"/>
            <w:tcBorders>
              <w:top w:val="single" w:color="000000" w:sz="8" w:space="0"/>
              <w:left w:val="single" w:color="000000" w:sz="4" w:space="0"/>
              <w:bottom w:val="single" w:color="000000" w:sz="8" w:space="0"/>
              <w:right w:val="single" w:color="000000" w:sz="4" w:space="0"/>
            </w:tcBorders>
            <w:vAlign w:val="center"/>
          </w:tcPr>
          <w:p w14:paraId="34BCC98D">
            <w:pPr>
              <w:jc w:val="center"/>
              <w:rPr>
                <w:rFonts w:ascii="宋体" w:hAnsi="宋体"/>
                <w:sz w:val="18"/>
                <w:szCs w:val="18"/>
              </w:rPr>
            </w:pPr>
            <w:r>
              <w:rPr>
                <w:rFonts w:hint="eastAsia" w:ascii="宋体" w:hAnsi="宋体"/>
                <w:sz w:val="18"/>
                <w:szCs w:val="18"/>
              </w:rPr>
              <w:t>生产日期/批号</w:t>
            </w:r>
          </w:p>
        </w:tc>
        <w:tc>
          <w:tcPr>
            <w:tcW w:w="1743" w:type="dxa"/>
            <w:tcBorders>
              <w:top w:val="single" w:color="000000" w:sz="8" w:space="0"/>
              <w:left w:val="single" w:color="000000" w:sz="4" w:space="0"/>
              <w:bottom w:val="single" w:color="000000" w:sz="8" w:space="0"/>
              <w:right w:val="single" w:color="000000" w:sz="4" w:space="0"/>
            </w:tcBorders>
            <w:vAlign w:val="center"/>
          </w:tcPr>
          <w:p w14:paraId="498CF9C4">
            <w:pPr>
              <w:jc w:val="center"/>
              <w:rPr>
                <w:rFonts w:ascii="宋体" w:hAnsi="宋体"/>
                <w:sz w:val="18"/>
                <w:szCs w:val="18"/>
              </w:rPr>
            </w:pPr>
            <w:r>
              <w:rPr>
                <w:rFonts w:hint="eastAsia" w:ascii="宋体" w:hAnsi="宋体"/>
                <w:sz w:val="18"/>
                <w:szCs w:val="18"/>
              </w:rPr>
              <w:t>数量</w:t>
            </w:r>
          </w:p>
        </w:tc>
        <w:tc>
          <w:tcPr>
            <w:tcW w:w="2716" w:type="dxa"/>
            <w:tcBorders>
              <w:top w:val="single" w:color="000000" w:sz="8" w:space="0"/>
              <w:left w:val="single" w:color="000000" w:sz="4" w:space="0"/>
              <w:bottom w:val="single" w:color="000000" w:sz="8" w:space="0"/>
              <w:right w:val="single" w:color="000000" w:sz="8" w:space="0"/>
            </w:tcBorders>
            <w:vAlign w:val="center"/>
          </w:tcPr>
          <w:p w14:paraId="4056C259">
            <w:pPr>
              <w:jc w:val="center"/>
              <w:rPr>
                <w:rFonts w:ascii="宋体" w:hAnsi="宋体"/>
                <w:sz w:val="18"/>
                <w:szCs w:val="18"/>
              </w:rPr>
            </w:pPr>
            <w:r>
              <w:rPr>
                <w:rFonts w:hint="eastAsia" w:ascii="宋体" w:hAnsi="宋体"/>
                <w:sz w:val="18"/>
                <w:szCs w:val="18"/>
              </w:rPr>
              <w:t>处理情况</w:t>
            </w:r>
          </w:p>
        </w:tc>
      </w:tr>
      <w:tr w14:paraId="1ED9E77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1992" w:type="dxa"/>
            <w:tcBorders>
              <w:top w:val="single" w:color="000000" w:sz="8" w:space="0"/>
              <w:left w:val="single" w:color="000000" w:sz="8" w:space="0"/>
              <w:bottom w:val="single" w:color="000000" w:sz="4" w:space="0"/>
              <w:right w:val="single" w:color="000000" w:sz="4" w:space="0"/>
            </w:tcBorders>
            <w:vAlign w:val="center"/>
          </w:tcPr>
          <w:p w14:paraId="26206AE2">
            <w:pPr>
              <w:jc w:val="center"/>
              <w:rPr>
                <w:rFonts w:ascii="宋体" w:hAnsi="宋体"/>
                <w:sz w:val="18"/>
                <w:szCs w:val="18"/>
              </w:rPr>
            </w:pPr>
          </w:p>
        </w:tc>
        <w:tc>
          <w:tcPr>
            <w:tcW w:w="2107" w:type="dxa"/>
            <w:tcBorders>
              <w:top w:val="single" w:color="000000" w:sz="8" w:space="0"/>
              <w:left w:val="single" w:color="000000" w:sz="4" w:space="0"/>
              <w:bottom w:val="single" w:color="000000" w:sz="4" w:space="0"/>
              <w:right w:val="single" w:color="000000" w:sz="4" w:space="0"/>
            </w:tcBorders>
            <w:vAlign w:val="center"/>
          </w:tcPr>
          <w:p w14:paraId="44B120C4">
            <w:pPr>
              <w:jc w:val="center"/>
              <w:rPr>
                <w:rFonts w:ascii="宋体" w:hAnsi="宋体"/>
                <w:sz w:val="18"/>
                <w:szCs w:val="18"/>
              </w:rPr>
            </w:pPr>
          </w:p>
        </w:tc>
        <w:tc>
          <w:tcPr>
            <w:tcW w:w="1543" w:type="dxa"/>
            <w:tcBorders>
              <w:top w:val="single" w:color="000000" w:sz="8" w:space="0"/>
              <w:left w:val="single" w:color="000000" w:sz="4" w:space="0"/>
              <w:bottom w:val="single" w:color="000000" w:sz="4" w:space="0"/>
              <w:right w:val="single" w:color="000000" w:sz="4" w:space="0"/>
            </w:tcBorders>
            <w:vAlign w:val="center"/>
          </w:tcPr>
          <w:p w14:paraId="5A42CFAD">
            <w:pPr>
              <w:jc w:val="center"/>
              <w:rPr>
                <w:rFonts w:ascii="宋体" w:hAnsi="宋体"/>
                <w:sz w:val="18"/>
                <w:szCs w:val="18"/>
              </w:rPr>
            </w:pPr>
          </w:p>
        </w:tc>
        <w:tc>
          <w:tcPr>
            <w:tcW w:w="1743" w:type="dxa"/>
            <w:tcBorders>
              <w:top w:val="single" w:color="000000" w:sz="8" w:space="0"/>
              <w:left w:val="single" w:color="000000" w:sz="4" w:space="0"/>
              <w:bottom w:val="single" w:color="000000" w:sz="4" w:space="0"/>
              <w:right w:val="single" w:color="000000" w:sz="4" w:space="0"/>
            </w:tcBorders>
            <w:vAlign w:val="center"/>
          </w:tcPr>
          <w:p w14:paraId="5025FCD5">
            <w:pPr>
              <w:jc w:val="center"/>
              <w:rPr>
                <w:rFonts w:ascii="宋体" w:hAnsi="宋体"/>
                <w:sz w:val="18"/>
                <w:szCs w:val="18"/>
              </w:rPr>
            </w:pPr>
          </w:p>
        </w:tc>
        <w:tc>
          <w:tcPr>
            <w:tcW w:w="2716" w:type="dxa"/>
            <w:tcBorders>
              <w:top w:val="single" w:color="000000" w:sz="8" w:space="0"/>
              <w:left w:val="single" w:color="000000" w:sz="4" w:space="0"/>
              <w:bottom w:val="single" w:color="000000" w:sz="4" w:space="0"/>
              <w:right w:val="single" w:color="000000" w:sz="8" w:space="0"/>
            </w:tcBorders>
            <w:vAlign w:val="center"/>
          </w:tcPr>
          <w:p w14:paraId="5C61612D">
            <w:pPr>
              <w:jc w:val="center"/>
              <w:rPr>
                <w:rFonts w:ascii="宋体" w:hAnsi="宋体"/>
                <w:sz w:val="18"/>
                <w:szCs w:val="18"/>
              </w:rPr>
            </w:pPr>
          </w:p>
        </w:tc>
      </w:tr>
      <w:tr w14:paraId="7E06FF9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1992" w:type="dxa"/>
            <w:tcBorders>
              <w:top w:val="single" w:color="000000" w:sz="4" w:space="0"/>
              <w:left w:val="single" w:color="000000" w:sz="8" w:space="0"/>
              <w:bottom w:val="single" w:color="000000" w:sz="4" w:space="0"/>
              <w:right w:val="single" w:color="000000" w:sz="4" w:space="0"/>
            </w:tcBorders>
            <w:vAlign w:val="center"/>
          </w:tcPr>
          <w:p w14:paraId="2891C48E">
            <w:pPr>
              <w:jc w:val="center"/>
              <w:rPr>
                <w:rFonts w:ascii="宋体" w:hAnsi="宋体"/>
                <w:sz w:val="18"/>
                <w:szCs w:val="18"/>
              </w:rPr>
            </w:pPr>
          </w:p>
        </w:tc>
        <w:tc>
          <w:tcPr>
            <w:tcW w:w="2107" w:type="dxa"/>
            <w:tcBorders>
              <w:top w:val="single" w:color="000000" w:sz="4" w:space="0"/>
              <w:left w:val="single" w:color="000000" w:sz="4" w:space="0"/>
              <w:bottom w:val="single" w:color="000000" w:sz="4" w:space="0"/>
              <w:right w:val="single" w:color="000000" w:sz="4" w:space="0"/>
            </w:tcBorders>
            <w:vAlign w:val="center"/>
          </w:tcPr>
          <w:p w14:paraId="7B2E4CE1">
            <w:pPr>
              <w:jc w:val="center"/>
              <w:rPr>
                <w:rFonts w:ascii="宋体" w:hAnsi="宋体"/>
                <w:sz w:val="18"/>
                <w:szCs w:val="18"/>
              </w:rPr>
            </w:pPr>
          </w:p>
        </w:tc>
        <w:tc>
          <w:tcPr>
            <w:tcW w:w="1543" w:type="dxa"/>
            <w:tcBorders>
              <w:top w:val="single" w:color="000000" w:sz="4" w:space="0"/>
              <w:left w:val="single" w:color="000000" w:sz="4" w:space="0"/>
              <w:bottom w:val="single" w:color="000000" w:sz="4" w:space="0"/>
              <w:right w:val="single" w:color="000000" w:sz="4" w:space="0"/>
            </w:tcBorders>
            <w:vAlign w:val="center"/>
          </w:tcPr>
          <w:p w14:paraId="3A485703">
            <w:pPr>
              <w:jc w:val="center"/>
              <w:rPr>
                <w:rFonts w:ascii="宋体" w:hAnsi="宋体"/>
                <w:sz w:val="18"/>
                <w:szCs w:val="18"/>
              </w:rPr>
            </w:pPr>
          </w:p>
        </w:tc>
        <w:tc>
          <w:tcPr>
            <w:tcW w:w="1743" w:type="dxa"/>
            <w:tcBorders>
              <w:top w:val="single" w:color="000000" w:sz="4" w:space="0"/>
              <w:left w:val="single" w:color="000000" w:sz="4" w:space="0"/>
              <w:bottom w:val="single" w:color="000000" w:sz="4" w:space="0"/>
              <w:right w:val="single" w:color="000000" w:sz="4" w:space="0"/>
            </w:tcBorders>
            <w:vAlign w:val="center"/>
          </w:tcPr>
          <w:p w14:paraId="043EF0ED">
            <w:pPr>
              <w:jc w:val="center"/>
              <w:rPr>
                <w:rFonts w:ascii="宋体" w:hAnsi="宋体"/>
                <w:sz w:val="18"/>
                <w:szCs w:val="18"/>
              </w:rPr>
            </w:pPr>
          </w:p>
        </w:tc>
        <w:tc>
          <w:tcPr>
            <w:tcW w:w="2716" w:type="dxa"/>
            <w:tcBorders>
              <w:top w:val="single" w:color="000000" w:sz="4" w:space="0"/>
              <w:left w:val="single" w:color="000000" w:sz="4" w:space="0"/>
              <w:bottom w:val="single" w:color="000000" w:sz="4" w:space="0"/>
              <w:right w:val="single" w:color="000000" w:sz="8" w:space="0"/>
            </w:tcBorders>
            <w:vAlign w:val="center"/>
          </w:tcPr>
          <w:p w14:paraId="7DAD579C">
            <w:pPr>
              <w:jc w:val="center"/>
              <w:rPr>
                <w:rFonts w:ascii="宋体" w:hAnsi="宋体"/>
                <w:sz w:val="18"/>
                <w:szCs w:val="18"/>
              </w:rPr>
            </w:pPr>
          </w:p>
        </w:tc>
      </w:tr>
      <w:tr w14:paraId="5938462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1992" w:type="dxa"/>
            <w:tcBorders>
              <w:top w:val="single" w:color="000000" w:sz="4" w:space="0"/>
              <w:left w:val="single" w:color="000000" w:sz="8" w:space="0"/>
              <w:bottom w:val="single" w:color="000000" w:sz="4" w:space="0"/>
              <w:right w:val="single" w:color="000000" w:sz="4" w:space="0"/>
            </w:tcBorders>
            <w:vAlign w:val="center"/>
          </w:tcPr>
          <w:p w14:paraId="6D894BA7">
            <w:pPr>
              <w:jc w:val="center"/>
              <w:rPr>
                <w:rFonts w:ascii="宋体" w:hAnsi="宋体"/>
                <w:sz w:val="18"/>
                <w:szCs w:val="18"/>
              </w:rPr>
            </w:pPr>
            <w:r>
              <w:rPr>
                <w:rFonts w:hint="eastAsia" w:ascii="宋体" w:hAnsi="宋体"/>
                <w:sz w:val="18"/>
                <w:szCs w:val="18"/>
              </w:rPr>
              <w:t>经营主体名称</w:t>
            </w:r>
          </w:p>
        </w:tc>
        <w:tc>
          <w:tcPr>
            <w:tcW w:w="3650" w:type="dxa"/>
            <w:gridSpan w:val="2"/>
            <w:tcBorders>
              <w:top w:val="single" w:color="000000" w:sz="4" w:space="0"/>
              <w:left w:val="single" w:color="000000" w:sz="4" w:space="0"/>
              <w:bottom w:val="single" w:color="000000" w:sz="4" w:space="0"/>
              <w:right w:val="single" w:color="000000" w:sz="4" w:space="0"/>
            </w:tcBorders>
            <w:vAlign w:val="center"/>
          </w:tcPr>
          <w:p w14:paraId="47283E3A">
            <w:pPr>
              <w:jc w:val="center"/>
              <w:rPr>
                <w:rFonts w:ascii="宋体" w:hAnsi="宋体"/>
                <w:sz w:val="18"/>
                <w:szCs w:val="18"/>
              </w:rPr>
            </w:pPr>
          </w:p>
        </w:tc>
        <w:tc>
          <w:tcPr>
            <w:tcW w:w="1743" w:type="dxa"/>
            <w:tcBorders>
              <w:top w:val="single" w:color="000000" w:sz="4" w:space="0"/>
              <w:left w:val="single" w:color="000000" w:sz="4" w:space="0"/>
              <w:bottom w:val="single" w:color="000000" w:sz="4" w:space="0"/>
              <w:right w:val="single" w:color="000000" w:sz="4" w:space="0"/>
            </w:tcBorders>
            <w:vAlign w:val="center"/>
          </w:tcPr>
          <w:p w14:paraId="6DE81AF2">
            <w:pPr>
              <w:jc w:val="center"/>
              <w:rPr>
                <w:rFonts w:ascii="宋体" w:hAnsi="宋体"/>
                <w:sz w:val="18"/>
                <w:szCs w:val="18"/>
              </w:rPr>
            </w:pPr>
            <w:r>
              <w:rPr>
                <w:rFonts w:hint="eastAsia" w:ascii="宋体" w:hAnsi="宋体"/>
                <w:sz w:val="18"/>
                <w:szCs w:val="18"/>
              </w:rPr>
              <w:t>质量负责人</w:t>
            </w:r>
          </w:p>
        </w:tc>
        <w:tc>
          <w:tcPr>
            <w:tcW w:w="2716" w:type="dxa"/>
            <w:tcBorders>
              <w:top w:val="single" w:color="000000" w:sz="4" w:space="0"/>
              <w:left w:val="single" w:color="000000" w:sz="4" w:space="0"/>
              <w:bottom w:val="single" w:color="000000" w:sz="4" w:space="0"/>
              <w:right w:val="single" w:color="000000" w:sz="8" w:space="0"/>
            </w:tcBorders>
            <w:vAlign w:val="center"/>
          </w:tcPr>
          <w:p w14:paraId="7C5EBAFC">
            <w:pPr>
              <w:jc w:val="center"/>
              <w:rPr>
                <w:rFonts w:ascii="宋体" w:hAnsi="宋体"/>
                <w:sz w:val="18"/>
                <w:szCs w:val="18"/>
              </w:rPr>
            </w:pPr>
          </w:p>
        </w:tc>
      </w:tr>
      <w:tr w14:paraId="04CA281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793" w:hRule="atLeast"/>
          <w:jc w:val="center"/>
        </w:trPr>
        <w:tc>
          <w:tcPr>
            <w:tcW w:w="1992" w:type="dxa"/>
            <w:tcBorders>
              <w:top w:val="single" w:color="000000" w:sz="4" w:space="0"/>
              <w:left w:val="single" w:color="000000" w:sz="8" w:space="0"/>
              <w:bottom w:val="single" w:color="000000" w:sz="4" w:space="0"/>
              <w:right w:val="single" w:color="000000" w:sz="4" w:space="0"/>
            </w:tcBorders>
            <w:vAlign w:val="center"/>
          </w:tcPr>
          <w:p w14:paraId="5EE89365">
            <w:pPr>
              <w:spacing w:after="120"/>
              <w:jc w:val="center"/>
              <w:rPr>
                <w:rFonts w:ascii="宋体" w:hAnsi="宋体"/>
                <w:sz w:val="18"/>
                <w:szCs w:val="18"/>
              </w:rPr>
            </w:pPr>
            <w:r>
              <w:rPr>
                <w:rFonts w:hint="eastAsia" w:ascii="宋体" w:hAnsi="宋体"/>
                <w:sz w:val="18"/>
                <w:szCs w:val="18"/>
              </w:rPr>
              <w:t>质量问题表现描述</w:t>
            </w:r>
          </w:p>
        </w:tc>
        <w:tc>
          <w:tcPr>
            <w:tcW w:w="8109" w:type="dxa"/>
            <w:gridSpan w:val="4"/>
            <w:tcBorders>
              <w:top w:val="single" w:color="000000" w:sz="4" w:space="0"/>
              <w:left w:val="single" w:color="000000" w:sz="4" w:space="0"/>
              <w:bottom w:val="single" w:color="000000" w:sz="4" w:space="0"/>
              <w:right w:val="single" w:color="000000" w:sz="8" w:space="0"/>
            </w:tcBorders>
          </w:tcPr>
          <w:p w14:paraId="1B6B773D">
            <w:pPr>
              <w:rPr>
                <w:rFonts w:ascii="宋体" w:hAnsi="宋体"/>
                <w:sz w:val="18"/>
                <w:szCs w:val="18"/>
              </w:rPr>
            </w:pPr>
          </w:p>
        </w:tc>
      </w:tr>
      <w:tr w14:paraId="7C498AC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357" w:hRule="atLeast"/>
          <w:jc w:val="center"/>
        </w:trPr>
        <w:tc>
          <w:tcPr>
            <w:tcW w:w="1992" w:type="dxa"/>
            <w:tcBorders>
              <w:top w:val="single" w:color="000000" w:sz="4" w:space="0"/>
              <w:left w:val="single" w:color="000000" w:sz="8" w:space="0"/>
              <w:bottom w:val="single" w:color="auto" w:sz="4" w:space="0"/>
              <w:right w:val="single" w:color="auto" w:sz="4" w:space="0"/>
            </w:tcBorders>
            <w:vAlign w:val="center"/>
          </w:tcPr>
          <w:p w14:paraId="5A6FE3E6">
            <w:pPr>
              <w:jc w:val="center"/>
              <w:rPr>
                <w:rFonts w:ascii="宋体" w:hAnsi="宋体"/>
              </w:rPr>
            </w:pPr>
            <w:r>
              <w:rPr>
                <w:rFonts w:hint="eastAsia" w:ascii="宋体" w:hAnsi="宋体"/>
                <w:sz w:val="18"/>
                <w:szCs w:val="18"/>
              </w:rPr>
              <w:t>质量问题诊断</w:t>
            </w:r>
          </w:p>
        </w:tc>
        <w:tc>
          <w:tcPr>
            <w:tcW w:w="8109" w:type="dxa"/>
            <w:gridSpan w:val="4"/>
            <w:tcBorders>
              <w:top w:val="single" w:color="000000" w:sz="4" w:space="0"/>
              <w:left w:val="nil"/>
              <w:bottom w:val="single" w:color="auto" w:sz="4" w:space="0"/>
              <w:right w:val="single" w:color="000000" w:sz="8" w:space="0"/>
            </w:tcBorders>
          </w:tcPr>
          <w:p w14:paraId="1186D296">
            <w:pPr>
              <w:rPr>
                <w:rFonts w:ascii="宋体" w:hAnsi="宋体"/>
              </w:rPr>
            </w:pPr>
          </w:p>
        </w:tc>
      </w:tr>
      <w:tr w14:paraId="6693D63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116" w:hRule="atLeast"/>
          <w:jc w:val="center"/>
        </w:trPr>
        <w:tc>
          <w:tcPr>
            <w:tcW w:w="1992" w:type="dxa"/>
            <w:tcBorders>
              <w:top w:val="single" w:color="auto" w:sz="4" w:space="0"/>
              <w:left w:val="single" w:color="000000" w:sz="8" w:space="0"/>
              <w:bottom w:val="single" w:color="000000" w:sz="4" w:space="0"/>
              <w:right w:val="single" w:color="auto" w:sz="4" w:space="0"/>
            </w:tcBorders>
            <w:vAlign w:val="center"/>
          </w:tcPr>
          <w:p w14:paraId="2C5DB64E">
            <w:pPr>
              <w:jc w:val="center"/>
              <w:rPr>
                <w:rFonts w:ascii="宋体" w:hAnsi="宋体"/>
              </w:rPr>
            </w:pPr>
            <w:r>
              <w:rPr>
                <w:rFonts w:hint="eastAsia" w:ascii="宋体" w:hAnsi="宋体"/>
                <w:sz w:val="18"/>
                <w:szCs w:val="18"/>
              </w:rPr>
              <w:t>整改措施建议</w:t>
            </w:r>
          </w:p>
        </w:tc>
        <w:tc>
          <w:tcPr>
            <w:tcW w:w="8109" w:type="dxa"/>
            <w:gridSpan w:val="4"/>
            <w:tcBorders>
              <w:top w:val="single" w:color="auto" w:sz="4" w:space="0"/>
              <w:left w:val="nil"/>
              <w:bottom w:val="single" w:color="000000" w:sz="4" w:space="0"/>
              <w:right w:val="single" w:color="000000" w:sz="8" w:space="0"/>
            </w:tcBorders>
          </w:tcPr>
          <w:p w14:paraId="2227A93A">
            <w:pPr>
              <w:rPr>
                <w:rFonts w:ascii="宋体" w:hAnsi="宋体"/>
              </w:rPr>
            </w:pPr>
          </w:p>
        </w:tc>
      </w:tr>
      <w:tr w14:paraId="4CC15B5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375" w:hRule="atLeast"/>
          <w:jc w:val="center"/>
        </w:trPr>
        <w:tc>
          <w:tcPr>
            <w:tcW w:w="10101" w:type="dxa"/>
            <w:gridSpan w:val="5"/>
            <w:tcBorders>
              <w:top w:val="single" w:color="000000" w:sz="4" w:space="0"/>
              <w:left w:val="single" w:color="000000" w:sz="8" w:space="0"/>
              <w:bottom w:val="single" w:color="000000" w:sz="8" w:space="0"/>
              <w:right w:val="single" w:color="000000" w:sz="8" w:space="0"/>
            </w:tcBorders>
            <w:vAlign w:val="center"/>
          </w:tcPr>
          <w:p w14:paraId="508D9BAD">
            <w:pPr>
              <w:ind w:firstLine="180" w:firstLineChars="100"/>
              <w:rPr>
                <w:rFonts w:ascii="宋体" w:hAnsi="宋体"/>
                <w:sz w:val="18"/>
                <w:szCs w:val="18"/>
              </w:rPr>
            </w:pPr>
            <w:r>
              <w:rPr>
                <w:rFonts w:hint="eastAsia" w:ascii="宋体" w:hAnsi="宋体"/>
                <w:sz w:val="18"/>
                <w:szCs w:val="18"/>
              </w:rPr>
              <w:t xml:space="preserve">经营主体质量负责人：                                帮扶工作组：  </w:t>
            </w:r>
          </w:p>
          <w:p w14:paraId="639A0F51">
            <w:pPr>
              <w:ind w:firstLine="180" w:firstLineChars="100"/>
              <w:rPr>
                <w:rFonts w:ascii="宋体" w:hAnsi="宋体"/>
                <w:sz w:val="18"/>
                <w:szCs w:val="18"/>
              </w:rPr>
            </w:pPr>
          </w:p>
          <w:p w14:paraId="284A7D9B">
            <w:pPr>
              <w:ind w:firstLine="180" w:firstLineChars="100"/>
              <w:rPr>
                <w:rFonts w:ascii="宋体" w:hAnsi="宋体"/>
                <w:b/>
                <w:bCs/>
                <w:sz w:val="18"/>
                <w:szCs w:val="18"/>
              </w:rPr>
            </w:pPr>
            <w:r>
              <w:rPr>
                <w:rFonts w:hint="eastAsia" w:ascii="宋体" w:hAnsi="宋体"/>
                <w:sz w:val="18"/>
                <w:szCs w:val="18"/>
              </w:rPr>
              <w:t xml:space="preserve">日期：                                        </w:t>
            </w:r>
            <w:r>
              <w:rPr>
                <w:rFonts w:ascii="宋体" w:hAnsi="宋体"/>
                <w:sz w:val="18"/>
                <w:szCs w:val="18"/>
              </w:rPr>
              <w:t xml:space="preserve">      </w:t>
            </w:r>
            <w:r>
              <w:rPr>
                <w:rFonts w:hint="eastAsia" w:ascii="宋体" w:hAnsi="宋体"/>
                <w:sz w:val="18"/>
                <w:szCs w:val="18"/>
              </w:rPr>
              <w:t>日期：</w:t>
            </w:r>
          </w:p>
        </w:tc>
      </w:tr>
    </w:tbl>
    <w:p w14:paraId="30DA86CE">
      <w:pPr>
        <w:pStyle w:val="60"/>
        <w:ind w:firstLine="420"/>
        <w:sectPr>
          <w:pgSz w:w="11906" w:h="16838"/>
          <w:pgMar w:top="1928" w:right="1134" w:bottom="1134" w:left="1134" w:header="1418" w:footer="1134" w:gutter="284"/>
          <w:cols w:space="425" w:num="1"/>
          <w:formProt w:val="0"/>
          <w:docGrid w:linePitch="312" w:charSpace="0"/>
        </w:sectPr>
      </w:pPr>
    </w:p>
    <w:p w14:paraId="4A725105">
      <w:pPr>
        <w:pStyle w:val="202"/>
        <w:rPr>
          <w:vanish w:val="0"/>
        </w:rPr>
      </w:pPr>
    </w:p>
    <w:p w14:paraId="1E9B11E6">
      <w:pPr>
        <w:pStyle w:val="203"/>
        <w:rPr>
          <w:vanish w:val="0"/>
        </w:rPr>
      </w:pPr>
    </w:p>
    <w:p w14:paraId="3E0A594E">
      <w:pPr>
        <w:pStyle w:val="80"/>
        <w:spacing w:after="120"/>
      </w:pPr>
      <w:r>
        <w:br w:type="textWrapping"/>
      </w:r>
      <w:bookmarkStart w:id="250" w:name="_Toc221540521"/>
      <w:bookmarkStart w:id="251" w:name="_Toc208504827"/>
      <w:bookmarkStart w:id="252" w:name="_Toc225243338"/>
      <w:bookmarkStart w:id="253" w:name="_Toc214287538"/>
      <w:bookmarkStart w:id="254" w:name="_Toc225243742"/>
      <w:bookmarkStart w:id="255" w:name="_Toc228969810"/>
      <w:bookmarkStart w:id="256" w:name="_Toc228969928"/>
      <w:bookmarkStart w:id="257" w:name="_Toc228970046"/>
      <w:bookmarkStart w:id="258" w:name="_Toc228970194"/>
      <w:r>
        <w:rPr>
          <w:rFonts w:hint="eastAsia"/>
        </w:rPr>
        <w:t>（资料性）</w:t>
      </w:r>
      <w:r>
        <w:br w:type="textWrapping"/>
      </w:r>
      <w:r>
        <w:rPr>
          <w:rFonts w:hint="eastAsia"/>
        </w:rPr>
        <w:t>产品实现各个阶段的常见质量问题</w:t>
      </w:r>
      <w:bookmarkEnd w:id="250"/>
      <w:bookmarkEnd w:id="251"/>
      <w:bookmarkEnd w:id="252"/>
      <w:bookmarkEnd w:id="253"/>
      <w:bookmarkEnd w:id="254"/>
      <w:r>
        <w:rPr>
          <w:rFonts w:hint="eastAsia"/>
        </w:rPr>
        <w:t>及控制建议</w:t>
      </w:r>
      <w:bookmarkEnd w:id="255"/>
      <w:bookmarkEnd w:id="256"/>
      <w:bookmarkEnd w:id="257"/>
      <w:bookmarkEnd w:id="258"/>
    </w:p>
    <w:p w14:paraId="25DFB281">
      <w:pPr>
        <w:pStyle w:val="82"/>
        <w:spacing w:before="120" w:after="120"/>
      </w:pPr>
      <w:r>
        <w:rPr>
          <w:rFonts w:hint="eastAsia"/>
        </w:rPr>
        <w:t>设计开发过程</w:t>
      </w:r>
    </w:p>
    <w:p w14:paraId="11CFC5D3">
      <w:pPr>
        <w:pStyle w:val="83"/>
        <w:spacing w:before="120" w:after="120"/>
      </w:pPr>
      <w:r>
        <w:rPr>
          <w:rFonts w:hint="eastAsia"/>
        </w:rPr>
        <w:t>设计开发过程通常存在的质量问题</w:t>
      </w:r>
    </w:p>
    <w:p w14:paraId="6AE4E3A6">
      <w:pPr>
        <w:pStyle w:val="217"/>
      </w:pPr>
      <w:r>
        <w:rPr>
          <w:rFonts w:hint="eastAsia"/>
        </w:rPr>
        <w:t>需求分析识别。在产品设计之前，如果没有准确理解和确认用户的需求，可能导致最终产品不能满足市场或客户的需求。</w:t>
      </w:r>
    </w:p>
    <w:p w14:paraId="69FE59C1">
      <w:pPr>
        <w:pStyle w:val="217"/>
      </w:pPr>
      <w:r>
        <w:rPr>
          <w:rFonts w:hint="eastAsia"/>
        </w:rPr>
        <w:t>设计规范制定。制定的产品设计规范若存在缺陷，或者不符合实际的生产工艺能力，可能导致生产出的产品存在质量隐患。</w:t>
      </w:r>
    </w:p>
    <w:p w14:paraId="5DC62418">
      <w:pPr>
        <w:pStyle w:val="217"/>
      </w:pPr>
      <w:r>
        <w:rPr>
          <w:rFonts w:hint="eastAsia"/>
        </w:rPr>
        <w:t>材料和部件选择。设计时对材料和部件的选择不当，可能会导致产品在性能、耐用性及安全性上的问题。</w:t>
      </w:r>
    </w:p>
    <w:p w14:paraId="1563848A">
      <w:pPr>
        <w:pStyle w:val="217"/>
      </w:pPr>
      <w:r>
        <w:rPr>
          <w:rFonts w:hint="eastAsia"/>
        </w:rPr>
        <w:t>环境因素。在设计过程中没有考虑到产品可能面临的环境因素，如温度、湿度、震动等，可能会影响产品的使用寿命和性能。</w:t>
      </w:r>
    </w:p>
    <w:p w14:paraId="25E0511D">
      <w:pPr>
        <w:pStyle w:val="217"/>
      </w:pPr>
      <w:r>
        <w:rPr>
          <w:rFonts w:hint="eastAsia"/>
        </w:rPr>
        <w:t>设计验证。如果原型或样机没有经过充分测试，可能无法及时发现设计上的错误，导致后续批量生产中出现问题。</w:t>
      </w:r>
    </w:p>
    <w:p w14:paraId="29949B1B">
      <w:pPr>
        <w:pStyle w:val="217"/>
      </w:pPr>
      <w:r>
        <w:rPr>
          <w:rFonts w:hint="eastAsia"/>
        </w:rPr>
        <w:t>可靠性和稳定性。如果不重视产品的可靠性和稳定性设计，可能会造成产品早期失效或故障率增高。</w:t>
      </w:r>
    </w:p>
    <w:p w14:paraId="450F1EEB">
      <w:pPr>
        <w:pStyle w:val="217"/>
      </w:pPr>
      <w:r>
        <w:rPr>
          <w:rFonts w:hint="eastAsia"/>
        </w:rPr>
        <w:t>设计更改管理。在开发过程中，设计变更若没有得到妥善管理，可能引起产品结构的弱点或生产中的混乱。</w:t>
      </w:r>
    </w:p>
    <w:p w14:paraId="7021FB7A">
      <w:pPr>
        <w:pStyle w:val="83"/>
        <w:spacing w:before="120" w:after="120"/>
      </w:pPr>
      <w:r>
        <w:rPr>
          <w:rFonts w:hint="eastAsia"/>
        </w:rPr>
        <w:t>设计开发过程的控制建议</w:t>
      </w:r>
    </w:p>
    <w:p w14:paraId="62B97CEA">
      <w:pPr>
        <w:pStyle w:val="217"/>
      </w:pPr>
      <w:r>
        <w:rPr>
          <w:rFonts w:hint="eastAsia"/>
        </w:rPr>
        <w:t>在设计开发阶段，为避免质量问题，首先需在策划阶段进行彻底的需求分析，充分理解和确认用户及市场的需求，通过与客户沟通、市场调研和竞争分析等手段，将信息转化为明确的产品要求，并制定合理的设计规范，确保产品设计符合实际生产工艺能力，同时通过适当的验证过程识别潜在缺陷或不足。</w:t>
      </w:r>
    </w:p>
    <w:p w14:paraId="00FA181F">
      <w:pPr>
        <w:pStyle w:val="217"/>
      </w:pPr>
      <w:r>
        <w:rPr>
          <w:rFonts w:hint="eastAsia"/>
        </w:rPr>
        <w:t>在输入阶段，选择材料和部件时要进行严格的供应商评估和物料测试，保证所选材料和部件满足性能、耐用性和安全性要求，必要时进行替代材料的可行性分析，且在设计过程中考虑环境因素的影响，如温度、湿度和震动等，以确保产品在不同环境下均能保持良好的使用寿命和性能。</w:t>
      </w:r>
    </w:p>
    <w:p w14:paraId="157BFB16">
      <w:pPr>
        <w:pStyle w:val="217"/>
      </w:pPr>
      <w:r>
        <w:rPr>
          <w:rFonts w:hint="eastAsia"/>
        </w:rPr>
        <w:t>控制阶段，对原型或样机进行全面测试验证，确保设计满足预定要求，重视产品的可靠性和稳定性设计，采用故障模式与影响分析等工具预测和减少潜在故障，并进行长期稳定性测试评估产品在整个预期寿命内的表现。</w:t>
      </w:r>
    </w:p>
    <w:p w14:paraId="505C39B5">
      <w:pPr>
        <w:pStyle w:val="217"/>
      </w:pPr>
      <w:r>
        <w:rPr>
          <w:rFonts w:hint="eastAsia"/>
        </w:rPr>
        <w:t>变更阶段，建立设计更改控制程序，确保所有设计变更经过正式评审、批准和记录，充分评估变更影响，及时更新相关文档，避免生产混乱和产品结构弱点。</w:t>
      </w:r>
    </w:p>
    <w:p w14:paraId="7D1EBB5D">
      <w:pPr>
        <w:pStyle w:val="82"/>
        <w:spacing w:before="120" w:after="120"/>
      </w:pPr>
      <w:r>
        <w:rPr>
          <w:rFonts w:hint="eastAsia"/>
        </w:rPr>
        <w:t>供应链管理过程</w:t>
      </w:r>
    </w:p>
    <w:p w14:paraId="1F06E8CE">
      <w:pPr>
        <w:pStyle w:val="83"/>
        <w:spacing w:before="120" w:after="120"/>
      </w:pPr>
      <w:r>
        <w:rPr>
          <w:rFonts w:hint="eastAsia"/>
        </w:rPr>
        <w:t>供应链管理过程通常存在的质量问题</w:t>
      </w:r>
    </w:p>
    <w:p w14:paraId="671DF0CA">
      <w:pPr>
        <w:pStyle w:val="217"/>
      </w:pPr>
      <w:r>
        <w:rPr>
          <w:rFonts w:hint="eastAsia"/>
        </w:rPr>
        <w:t>供应商选择与评价。选择的供应商技术能力不足或质量管理水平不高，可能导致原材料或零部件的品质不稳定，影响最终产品的质量。</w:t>
      </w:r>
    </w:p>
    <w:p w14:paraId="02AB59F1">
      <w:pPr>
        <w:pStyle w:val="217"/>
      </w:pPr>
      <w:r>
        <w:rPr>
          <w:rFonts w:hint="eastAsia"/>
        </w:rPr>
        <w:t>采购物资标准制定。缺乏严格的采购流程和质量控制标准，可能导致不符合规格的物料进入生产环节。</w:t>
      </w:r>
    </w:p>
    <w:p w14:paraId="02A61CE4">
      <w:pPr>
        <w:pStyle w:val="217"/>
      </w:pPr>
      <w:r>
        <w:rPr>
          <w:rFonts w:hint="eastAsia"/>
        </w:rPr>
        <w:t>原材料检验。未建立规范的原材料入厂检验机制，或检验项目不全、检验方法不科学、检验人员能力不足，导致不合格原材料流入生产环节，引发后续产品质量问题。</w:t>
      </w:r>
    </w:p>
    <w:p w14:paraId="39AEFBFF">
      <w:pPr>
        <w:pStyle w:val="217"/>
      </w:pPr>
      <w:r>
        <w:rPr>
          <w:rFonts w:hint="eastAsia"/>
        </w:rPr>
        <w:t>验收控制。物料批次之间存在质量波动，若未能有效控制，会影响产品的一致性和可靠性。</w:t>
      </w:r>
    </w:p>
    <w:p w14:paraId="090633B6">
      <w:pPr>
        <w:pStyle w:val="217"/>
      </w:pPr>
      <w:r>
        <w:rPr>
          <w:rFonts w:hint="eastAsia"/>
        </w:rPr>
        <w:t>物流运输。在物流运输过程中，产品防护不当、运输环境不适宜（如湿度、温度控制不当）等问题，可能会损害物料或成品，影响产品质量。</w:t>
      </w:r>
    </w:p>
    <w:p w14:paraId="4DFA834A">
      <w:pPr>
        <w:pStyle w:val="217"/>
      </w:pPr>
      <w:r>
        <w:rPr>
          <w:rFonts w:hint="eastAsia"/>
        </w:rPr>
        <w:t>库存管理。库存管理不善，如存储条件不合适或库存时间过长，导致物料品质下降。</w:t>
      </w:r>
    </w:p>
    <w:p w14:paraId="1E8B943D">
      <w:pPr>
        <w:pStyle w:val="83"/>
        <w:spacing w:before="120" w:after="120"/>
      </w:pPr>
      <w:r>
        <w:rPr>
          <w:rFonts w:hint="eastAsia"/>
        </w:rPr>
        <w:t>供应链管理过程的控制建议</w:t>
      </w:r>
    </w:p>
    <w:p w14:paraId="6BC2A047">
      <w:pPr>
        <w:widowControl/>
        <w:autoSpaceDE w:val="0"/>
        <w:autoSpaceDN w:val="0"/>
        <w:adjustRightInd/>
        <w:spacing w:line="240" w:lineRule="auto"/>
        <w:ind w:firstLine="420" w:firstLineChars="200"/>
        <w:rPr>
          <w:rFonts w:ascii="宋体" w:hAnsi="Times New Roman"/>
          <w:kern w:val="0"/>
        </w:rPr>
      </w:pPr>
      <w:r>
        <w:rPr>
          <w:rFonts w:hint="eastAsia" w:ascii="宋体" w:hAnsi="宋体"/>
          <w:kern w:val="0"/>
        </w:rPr>
        <w:t>在供应链管理阶段，经营主体建立严格的供应商评估体系，对潜在供应商进行全面的技术能力和管理水平评价，并定期对现有供应商进行绩效评估。同时，制定详细的采购流程和严格的质量控制标准，确保采购物料符合规格要求。实施批次管理制度和统计过程控制方法，对物料批次之间的质量波动进行监控和分析。在物流运输过程中，采取适当的防护措施和环境控制，防止物料或成品在运输过程中受到损害。最后，为不同类型的物料提供适宜的存储条件，采用先进先出的原则管理库存，确保物料的新鲜度和使用顺序。</w:t>
      </w:r>
    </w:p>
    <w:p w14:paraId="248BC5DF">
      <w:pPr>
        <w:pStyle w:val="82"/>
        <w:spacing w:before="120" w:after="120"/>
      </w:pPr>
      <w:r>
        <w:rPr>
          <w:rFonts w:hint="eastAsia"/>
        </w:rPr>
        <w:t>生产过程</w:t>
      </w:r>
    </w:p>
    <w:p w14:paraId="2132BC14">
      <w:pPr>
        <w:pStyle w:val="83"/>
        <w:spacing w:before="120" w:after="120"/>
      </w:pPr>
      <w:r>
        <w:rPr>
          <w:rFonts w:hint="eastAsia"/>
        </w:rPr>
        <w:t>生产过程通常存在的质量问题</w:t>
      </w:r>
    </w:p>
    <w:p w14:paraId="32660A5B">
      <w:pPr>
        <w:pStyle w:val="217"/>
      </w:pPr>
      <w:r>
        <w:rPr>
          <w:rFonts w:hint="eastAsia"/>
        </w:rPr>
        <w:t xml:space="preserve">人员因素。未掌握必备的技术能力、未遵守操作规范、由于简单重复而产生厌烦情绪、关键工序未考核上岗，可能导致产品质量问题。 </w:t>
      </w:r>
    </w:p>
    <w:p w14:paraId="0FA81CA7">
      <w:pPr>
        <w:pStyle w:val="217"/>
      </w:pPr>
      <w:r>
        <w:rPr>
          <w:rFonts w:hint="eastAsia"/>
        </w:rPr>
        <w:t>生产设备因素。设备选型不适宜、存在运行故障、操作方法不正确、设备保养不当、工器具选择不满足要求，可能导致产品质量问题。使用不当或磨损的工具和夹具可能导致产品尺寸和形状的误差。</w:t>
      </w:r>
    </w:p>
    <w:p w14:paraId="3F5FF31B">
      <w:pPr>
        <w:pStyle w:val="217"/>
      </w:pPr>
      <w:r>
        <w:rPr>
          <w:rFonts w:hint="eastAsia"/>
        </w:rPr>
        <w:t>物料因素。原辅料质量及保质期问题、原辅料使用不当、原辅料储存条件不满足要求，可能导致产品质量问题。</w:t>
      </w:r>
    </w:p>
    <w:p w14:paraId="5EFE34BD">
      <w:pPr>
        <w:pStyle w:val="217"/>
      </w:pPr>
      <w:r>
        <w:rPr>
          <w:rFonts w:hint="eastAsia"/>
        </w:rPr>
        <w:t xml:space="preserve">方法因素。作业指导文件不完善或更新滞后，可能导致生产线人员操作错误。作业文件是否适宜并易于理解，不会由于错误解读造成质量问题。 </w:t>
      </w:r>
    </w:p>
    <w:p w14:paraId="593A2002">
      <w:pPr>
        <w:pStyle w:val="217"/>
      </w:pPr>
      <w:r>
        <w:rPr>
          <w:rFonts w:hint="eastAsia"/>
        </w:rPr>
        <w:t>生产环境因素。生产环境不达标，可能影响产品质量。生产现场管理不善，如5S（整理、整顿、清扫、清洁、素养）执行不到位，可能导致产品受到污染或损坏。</w:t>
      </w:r>
    </w:p>
    <w:p w14:paraId="25EAD567">
      <w:pPr>
        <w:pStyle w:val="217"/>
      </w:pPr>
      <w:r>
        <w:rPr>
          <w:rFonts w:hint="eastAsia"/>
        </w:rPr>
        <w:t>测量因素。生产过程缺乏有效的质量控制措施和检测手段，使得问题产品可能流入下一工序或市场。</w:t>
      </w:r>
    </w:p>
    <w:p w14:paraId="3D09A0BE">
      <w:pPr>
        <w:pStyle w:val="183"/>
      </w:pPr>
      <w:r>
        <w:rPr>
          <w:rFonts w:hint="eastAsia"/>
        </w:rPr>
        <w:t>可运用要因分析法从人、机、料、法、环、测等因素逐项分析。</w:t>
      </w:r>
    </w:p>
    <w:p w14:paraId="35686813">
      <w:pPr>
        <w:pStyle w:val="83"/>
        <w:spacing w:before="120" w:after="120"/>
      </w:pPr>
      <w:r>
        <w:rPr>
          <w:rFonts w:hint="eastAsia"/>
        </w:rPr>
        <w:t>生产过程的控制建议</w:t>
      </w:r>
    </w:p>
    <w:p w14:paraId="016D6C96">
      <w:pPr>
        <w:widowControl/>
        <w:autoSpaceDE w:val="0"/>
        <w:autoSpaceDN w:val="0"/>
        <w:adjustRightInd/>
        <w:spacing w:line="240" w:lineRule="auto"/>
        <w:ind w:firstLine="420" w:firstLineChars="200"/>
        <w:rPr>
          <w:rFonts w:ascii="宋体" w:hAnsi="Times New Roman"/>
          <w:kern w:val="0"/>
        </w:rPr>
      </w:pPr>
      <w:r>
        <w:rPr>
          <w:rFonts w:hint="eastAsia" w:ascii="宋体" w:hAnsi="宋体"/>
          <w:kern w:val="0"/>
        </w:rPr>
        <w:t>在生产过程控制中，经营主体需要从人、机、料、法、环、测等多个因素进行综合管理。首先，对于人员因素，经营主体确保员工掌握必备的技术能力，遵守操作规范，并通过培训和考核上岗来提升其技能水平。其次，生产设备的选择和维护至关重要，经营主体选用适宜的设备，定期进行保养和校准，确保设备运行正常。同时，物料的质量和使用也是影响产品质量的重要因素，经营主体严格把控原辅料的质量和储存条件，确保物料符合生产要求。在方法方面，经营主体完善作业指导文件，及时更新并确保其易于理解，避免操作错误。此外，生产环境的管理也不容忽视，经营主体保持生产现场的整洁和有序，执行5S管理，防止产品受到污染或损坏。最后，测量因素是质量控制的重要环节，经营主体建立有效的质量控制措施和检测手段，及时发现问题并采取措施进行调整。</w:t>
      </w:r>
    </w:p>
    <w:p w14:paraId="5DEB5523">
      <w:pPr>
        <w:pStyle w:val="82"/>
        <w:spacing w:before="120" w:after="120"/>
      </w:pPr>
      <w:r>
        <w:rPr>
          <w:rFonts w:hint="eastAsia"/>
        </w:rPr>
        <w:t>品质管理过程</w:t>
      </w:r>
    </w:p>
    <w:p w14:paraId="282E04B9">
      <w:pPr>
        <w:pStyle w:val="83"/>
        <w:spacing w:before="120" w:after="120"/>
      </w:pPr>
      <w:r>
        <w:rPr>
          <w:rFonts w:hint="eastAsia"/>
        </w:rPr>
        <w:t>品质管理过程通常存在的质量问题</w:t>
      </w:r>
    </w:p>
    <w:p w14:paraId="0877E675">
      <w:pPr>
        <w:pStyle w:val="217"/>
      </w:pPr>
      <w:r>
        <w:rPr>
          <w:rFonts w:hint="eastAsia"/>
        </w:rPr>
        <w:t>人员能力。品质管理相关人员若未接受适当的培训，可能缺乏必要的技能来执行质量控制任务。</w:t>
      </w:r>
    </w:p>
    <w:p w14:paraId="7AD0C149">
      <w:pPr>
        <w:pStyle w:val="217"/>
      </w:pPr>
      <w:r>
        <w:rPr>
          <w:rFonts w:hint="eastAsia"/>
        </w:rPr>
        <w:t>检测手段与设备。质量检测设备落后、不准确或方法不当，可能无法有效识别产品中的质量问题。</w:t>
      </w:r>
    </w:p>
    <w:p w14:paraId="359402DC">
      <w:pPr>
        <w:pStyle w:val="217"/>
      </w:pPr>
      <w:r>
        <w:rPr>
          <w:rFonts w:hint="eastAsia"/>
        </w:rPr>
        <w:t>监测环节。产品生产过程中缺少必要的监测点，不能及时发现并纠正生产中的偏差</w:t>
      </w:r>
    </w:p>
    <w:p w14:paraId="0A3E76C9">
      <w:pPr>
        <w:pStyle w:val="217"/>
      </w:pPr>
      <w:r>
        <w:rPr>
          <w:rFonts w:hint="eastAsia"/>
        </w:rPr>
        <w:t>数据分析和改进：数据分析能力不足，导致无法从质量数据中准确识别问题根源和趋势，错失改进机会；缺乏有效的质量反馈机制，使得前线员工和顾客的反馈信息未能用于产品质量改进。</w:t>
      </w:r>
    </w:p>
    <w:p w14:paraId="195FADBA">
      <w:pPr>
        <w:pStyle w:val="217"/>
      </w:pPr>
      <w:r>
        <w:rPr>
          <w:rFonts w:hint="eastAsia"/>
        </w:rPr>
        <w:t>标准一致性。经营主体的质量标准与行业或国家/国际标准不一致，可能导致产品不能满足基本的质量要求。</w:t>
      </w:r>
    </w:p>
    <w:p w14:paraId="06986E99">
      <w:pPr>
        <w:pStyle w:val="83"/>
        <w:spacing w:before="120" w:after="120"/>
      </w:pPr>
      <w:r>
        <w:rPr>
          <w:rFonts w:hint="eastAsia"/>
        </w:rPr>
        <w:t>品质管理过程的控制建议</w:t>
      </w:r>
    </w:p>
    <w:p w14:paraId="20D795A3">
      <w:pPr>
        <w:widowControl/>
        <w:autoSpaceDE w:val="0"/>
        <w:autoSpaceDN w:val="0"/>
        <w:adjustRightInd/>
        <w:spacing w:line="240" w:lineRule="auto"/>
        <w:ind w:firstLine="420" w:firstLineChars="200"/>
        <w:rPr>
          <w:rFonts w:ascii="宋体" w:hAnsi="Times New Roman"/>
          <w:kern w:val="0"/>
        </w:rPr>
      </w:pPr>
      <w:r>
        <w:rPr>
          <w:rFonts w:hint="eastAsia" w:ascii="宋体" w:hAnsi="宋体"/>
          <w:kern w:val="0"/>
        </w:rPr>
        <w:t>在品质管理过程中，经营主体需确保人员具备相应的技能和知识，通过适当的培训和能力评估来提升其执行任务的能力。同时，使用适宜的检测设备和方法进行质量检测，确保检测结果的准确性和可靠性。在生产过程中设置必要的监测点，及时发现并纠正偏差，防止不合格品的产生。此外，对质量数据进行分析，从中发现趋势和问题根源，以便采取预防措施。建立有效的质量反馈机制，鼓励员工和客户参与质量改进活动，及时获取前线员工的意见和建议以及顾客的反馈信息，从而持续改进产品和服务质量。</w:t>
      </w:r>
    </w:p>
    <w:p w14:paraId="09944E95">
      <w:pPr>
        <w:pStyle w:val="60"/>
        <w:ind w:firstLine="420"/>
      </w:pPr>
    </w:p>
    <w:p w14:paraId="19975EBB">
      <w:pPr>
        <w:pStyle w:val="60"/>
        <w:ind w:firstLine="420"/>
      </w:pPr>
    </w:p>
    <w:p w14:paraId="5F19F30A">
      <w:pPr>
        <w:pStyle w:val="60"/>
        <w:ind w:firstLine="420"/>
      </w:pPr>
    </w:p>
    <w:p w14:paraId="018DAEF0">
      <w:pPr>
        <w:pStyle w:val="60"/>
        <w:ind w:firstLine="420"/>
        <w:sectPr>
          <w:pgSz w:w="11906" w:h="16838"/>
          <w:pgMar w:top="1928" w:right="1134" w:bottom="1134" w:left="1134" w:header="1418" w:footer="1134" w:gutter="284"/>
          <w:cols w:space="425" w:num="1"/>
          <w:formProt w:val="0"/>
          <w:docGrid w:linePitch="312" w:charSpace="0"/>
        </w:sectPr>
      </w:pPr>
    </w:p>
    <w:p w14:paraId="337CDAAC">
      <w:pPr>
        <w:pStyle w:val="202"/>
        <w:rPr>
          <w:vanish w:val="0"/>
        </w:rPr>
      </w:pPr>
    </w:p>
    <w:p w14:paraId="57DDB5C7">
      <w:pPr>
        <w:pStyle w:val="203"/>
        <w:rPr>
          <w:vanish w:val="0"/>
        </w:rPr>
      </w:pPr>
    </w:p>
    <w:p w14:paraId="1443F711">
      <w:pPr>
        <w:pStyle w:val="80"/>
        <w:spacing w:before="0" w:after="120"/>
      </w:pPr>
      <w:bookmarkStart w:id="259" w:name="_Toc228970118"/>
      <w:bookmarkEnd w:id="259"/>
      <w:bookmarkStart w:id="260" w:name="_Toc228969883"/>
      <w:bookmarkEnd w:id="260"/>
      <w:bookmarkStart w:id="261" w:name="_Toc228970119"/>
      <w:bookmarkEnd w:id="261"/>
      <w:bookmarkStart w:id="262" w:name="_Toc228970001"/>
      <w:bookmarkEnd w:id="262"/>
      <w:bookmarkStart w:id="263" w:name="_Toc228970120"/>
      <w:bookmarkEnd w:id="263"/>
      <w:bookmarkStart w:id="264" w:name="_Toc228969999"/>
      <w:bookmarkEnd w:id="264"/>
      <w:bookmarkStart w:id="265" w:name="_Toc228970117"/>
      <w:bookmarkEnd w:id="265"/>
      <w:bookmarkStart w:id="266" w:name="_Toc228969882"/>
      <w:bookmarkEnd w:id="266"/>
      <w:bookmarkStart w:id="267" w:name="_Toc228970000"/>
      <w:bookmarkEnd w:id="267"/>
      <w:bookmarkStart w:id="268" w:name="_Toc228969881"/>
      <w:bookmarkEnd w:id="268"/>
      <w:bookmarkStart w:id="269" w:name="_Toc228970111"/>
      <w:bookmarkEnd w:id="269"/>
      <w:bookmarkStart w:id="270" w:name="_Toc228969875"/>
      <w:bookmarkEnd w:id="270"/>
      <w:bookmarkStart w:id="271" w:name="_Toc228969993"/>
      <w:bookmarkEnd w:id="271"/>
      <w:bookmarkStart w:id="272" w:name="_Toc228969877"/>
      <w:bookmarkEnd w:id="272"/>
      <w:bookmarkStart w:id="273" w:name="_Toc228969812"/>
      <w:bookmarkEnd w:id="273"/>
      <w:bookmarkStart w:id="274" w:name="_Toc228969879"/>
      <w:bookmarkEnd w:id="274"/>
      <w:bookmarkStart w:id="275" w:name="_Toc228969997"/>
      <w:bookmarkEnd w:id="275"/>
      <w:bookmarkStart w:id="276" w:name="_Toc228969930"/>
      <w:bookmarkEnd w:id="276"/>
      <w:bookmarkStart w:id="277" w:name="_Toc228969880"/>
      <w:bookmarkEnd w:id="277"/>
      <w:bookmarkStart w:id="278" w:name="_Toc228969884"/>
      <w:bookmarkEnd w:id="278"/>
      <w:bookmarkStart w:id="279" w:name="_Toc228970002"/>
      <w:bookmarkEnd w:id="279"/>
      <w:bookmarkStart w:id="280" w:name="_Toc228970116"/>
      <w:bookmarkEnd w:id="280"/>
      <w:bookmarkStart w:id="281" w:name="_Toc228969998"/>
      <w:bookmarkEnd w:id="281"/>
      <w:bookmarkStart w:id="282" w:name="_Toc228970048"/>
      <w:bookmarkEnd w:id="282"/>
      <w:bookmarkStart w:id="283" w:name="_Toc228969878"/>
      <w:bookmarkEnd w:id="283"/>
      <w:bookmarkStart w:id="284" w:name="_Toc228969995"/>
      <w:bookmarkEnd w:id="284"/>
      <w:bookmarkStart w:id="285" w:name="_Toc228969996"/>
      <w:bookmarkEnd w:id="285"/>
      <w:bookmarkStart w:id="286" w:name="_Toc228970113"/>
      <w:bookmarkEnd w:id="286"/>
      <w:bookmarkStart w:id="287" w:name="_Toc228970114"/>
      <w:bookmarkEnd w:id="287"/>
      <w:bookmarkStart w:id="288" w:name="_Toc228970115"/>
      <w:bookmarkEnd w:id="288"/>
      <w:bookmarkStart w:id="289" w:name="_Toc228969929"/>
      <w:bookmarkEnd w:id="289"/>
      <w:bookmarkStart w:id="290" w:name="_Toc228969811"/>
      <w:bookmarkEnd w:id="290"/>
      <w:bookmarkStart w:id="291" w:name="_Toc228970047"/>
      <w:bookmarkEnd w:id="291"/>
      <w:bookmarkStart w:id="292" w:name="_Toc228969813"/>
      <w:bookmarkEnd w:id="292"/>
      <w:bookmarkStart w:id="293" w:name="_Toc228970049"/>
      <w:bookmarkEnd w:id="293"/>
      <w:bookmarkStart w:id="294" w:name="_Toc228969931"/>
      <w:bookmarkEnd w:id="294"/>
    </w:p>
    <w:p w14:paraId="0E69F303">
      <w:pPr>
        <w:spacing w:after="80" w:line="240" w:lineRule="auto"/>
        <w:jc w:val="center"/>
        <w:rPr>
          <w:rFonts w:ascii="黑体" w:hAnsi="Times New Roman" w:eastAsia="黑体"/>
          <w:kern w:val="0"/>
          <w:szCs w:val="20"/>
        </w:rPr>
      </w:pPr>
      <w:r>
        <w:rPr>
          <w:rFonts w:hint="eastAsia" w:ascii="黑体" w:hAnsi="Times New Roman" w:eastAsia="黑体"/>
          <w:kern w:val="0"/>
          <w:szCs w:val="20"/>
        </w:rPr>
        <w:t>（资料性）</w:t>
      </w:r>
    </w:p>
    <w:p w14:paraId="119C7789">
      <w:pPr>
        <w:spacing w:after="240" w:line="240" w:lineRule="auto"/>
        <w:jc w:val="center"/>
        <w:rPr>
          <w:rFonts w:ascii="黑体" w:hAnsi="Times New Roman" w:eastAsia="黑体"/>
          <w:kern w:val="0"/>
          <w:szCs w:val="20"/>
        </w:rPr>
      </w:pPr>
      <w:r>
        <w:rPr>
          <w:rFonts w:ascii="黑体" w:hAnsi="Times New Roman" w:eastAsia="黑体"/>
          <w:kern w:val="0"/>
          <w:szCs w:val="20"/>
        </w:rPr>
        <w:t>帮扶清单</w:t>
      </w:r>
    </w:p>
    <w:p w14:paraId="3AA27426">
      <w:pPr>
        <w:pStyle w:val="82"/>
        <w:spacing w:before="120" w:after="120"/>
        <w:rPr>
          <w:shd w:val="clear" w:color="auto" w:fill="FFFFFF"/>
        </w:rPr>
      </w:pPr>
      <w:r>
        <w:rPr>
          <w:rFonts w:hint="eastAsia"/>
          <w:shd w:val="clear" w:color="auto" w:fill="FFFFFF"/>
        </w:rPr>
        <w:t>目的与使用说明</w:t>
      </w:r>
    </w:p>
    <w:p w14:paraId="054EA42F">
      <w:pPr>
        <w:pStyle w:val="60"/>
        <w:ind w:firstLine="420"/>
      </w:pPr>
      <w:r>
        <w:t>本附录给出了帮扶清单的参考格式，供帮扶实施机构（以下简称</w:t>
      </w:r>
      <w:r>
        <w:rPr>
          <w:rFonts w:ascii="宋体" w:hAnsi="宋体"/>
        </w:rPr>
        <w:t>“</w:t>
      </w:r>
      <w:r>
        <w:rPr>
          <w:rFonts w:hint="eastAsia" w:ascii="宋体" w:hAnsi="宋体"/>
        </w:rPr>
        <w:t>帮扶机构</w:t>
      </w:r>
      <w:r>
        <w:rPr>
          <w:rFonts w:ascii="宋体" w:hAnsi="宋体"/>
        </w:rPr>
        <w:t>”</w:t>
      </w:r>
      <w:r>
        <w:t>）与质量安全监管部门在年度工作开展前，依据辖区工业产品质量状况和企业帮扶需求，统筹策划全年度帮扶工作任务时参照使用。</w:t>
      </w:r>
    </w:p>
    <w:p w14:paraId="34FD5267">
      <w:pPr>
        <w:pStyle w:val="60"/>
        <w:ind w:firstLine="420"/>
      </w:pPr>
      <w:r>
        <w:t>帮扶清单是帮扶机构与监管部门开展任务匹配、资源调配的基础依据，应在每个帮扶周期启动前编制，明确本周期内拟开展的服务项目类型、适用质量问题范围、责任机构及量化目标，经双方确认后作为针对具体帮扶对象制定帮扶方案（见6.3.4）的前置依据。</w:t>
      </w:r>
    </w:p>
    <w:p w14:paraId="754EFD26">
      <w:pPr>
        <w:pStyle w:val="60"/>
        <w:ind w:firstLine="420"/>
      </w:pPr>
      <w:r>
        <w:t>帮扶清单须由帮扶实施机构与监管部门共同确认后生效，后续各帮扶方案的制定及效果评价均应在本清单框架内实施。</w:t>
      </w:r>
    </w:p>
    <w:p w14:paraId="7252A2CC">
      <w:pPr>
        <w:pStyle w:val="82"/>
        <w:spacing w:before="120" w:after="120"/>
        <w:rPr>
          <w:shd w:val="clear" w:color="auto" w:fill="FFFFFF"/>
        </w:rPr>
      </w:pPr>
      <w:r>
        <w:rPr>
          <w:rFonts w:hint="eastAsia"/>
          <w:shd w:val="clear" w:color="auto" w:fill="FFFFFF"/>
        </w:rPr>
        <w:t>填写说明</w:t>
      </w:r>
    </w:p>
    <w:p w14:paraId="673C6005">
      <w:pPr>
        <w:pStyle w:val="216"/>
      </w:pPr>
      <w:r>
        <w:rPr>
          <w:rFonts w:hint="eastAsia"/>
        </w:rPr>
        <w:t>帮扶项目编号。按“年份+序号”格式编写，如“2026-001”，每个服务项目单独编号。</w:t>
      </w:r>
    </w:p>
    <w:p w14:paraId="123CA006">
      <w:pPr>
        <w:pStyle w:val="216"/>
      </w:pPr>
      <w:r>
        <w:rPr>
          <w:rFonts w:hint="eastAsia"/>
        </w:rPr>
        <w:t>服务类型。按帮扶服务的性质分类，如“现场诊断类”</w:t>
      </w:r>
      <w:r>
        <w:t>“</w:t>
      </w:r>
      <w:r>
        <w:rPr>
          <w:rFonts w:hint="eastAsia"/>
        </w:rPr>
        <w:t>检验检测类”“标准宣贯类”“体系建设类”“培训指导类”等，可根据实际工作扩展。</w:t>
      </w:r>
    </w:p>
    <w:p w14:paraId="3AD3B17D">
      <w:pPr>
        <w:pStyle w:val="216"/>
      </w:pPr>
      <w:r>
        <w:rPr>
          <w:rFonts w:hint="eastAsia"/>
        </w:rPr>
        <w:t>适用质量问题类型。描述该项目拟解决的共性质量问题类别，如“监督抽查不合格项整改”“产品关键指标超标”“质量管理体系缺失”等，不针对特定企业。</w:t>
      </w:r>
    </w:p>
    <w:p w14:paraId="664CE1CC">
      <w:pPr>
        <w:pStyle w:val="216"/>
      </w:pPr>
      <w:r>
        <w:rPr>
          <w:rFonts w:hint="eastAsia"/>
        </w:rPr>
        <w:t>服务内容。简述本项目拟提供的具体帮扶内容，如“组织专家开展现场工艺诊断及整改指导”“提供国家/行业标准培训及宣贯”等，参照本文件第6章规定的帮扶方式填写。</w:t>
      </w:r>
    </w:p>
    <w:p w14:paraId="2E7F43B3">
      <w:pPr>
        <w:pStyle w:val="216"/>
      </w:pPr>
      <w:r>
        <w:rPr>
          <w:rFonts w:hint="eastAsia"/>
        </w:rPr>
        <w:t>负责机构/专家。填写承担本项服务的帮扶机构名称及负责人/专家姓名。</w:t>
      </w:r>
    </w:p>
    <w:p w14:paraId="6354F5C7">
      <w:pPr>
        <w:pStyle w:val="216"/>
      </w:pPr>
      <w:r>
        <w:rPr>
          <w:rFonts w:hint="eastAsia"/>
        </w:rPr>
        <w:t>拟覆盖企业数量。填写本项目计划帮扶的企业（经营主体）数量，为年度计划值，实际数量据帮扶对象匹配结果确定。</w:t>
      </w:r>
    </w:p>
    <w:p w14:paraId="4D65C5A2">
      <w:pPr>
        <w:pStyle w:val="216"/>
      </w:pPr>
      <w:r>
        <w:rPr>
          <w:rFonts w:hint="eastAsia"/>
        </w:rPr>
        <w:t>计划实施时段。填写本项目在帮扶周期内的预计开展时段（格式：YYYY年MM月—YYYY年MM月）。</w:t>
      </w:r>
    </w:p>
    <w:p w14:paraId="545BB8BC">
      <w:pPr>
        <w:pStyle w:val="216"/>
      </w:pPr>
      <w:r>
        <w:rPr>
          <w:rFonts w:hint="eastAsia"/>
        </w:rPr>
        <w:t>量化目标。填写本项目在全年度层面需达成的可测量、可验证的量化指标，如“整改完成率≥95%”“帮扶企业产品合格率提升幅度≥15%”“监督抽查不合格率降低≥30%”等，应与效果评价（6.5.2）中定量指标对应。</w:t>
      </w:r>
    </w:p>
    <w:p w14:paraId="5DCAD8D1">
      <w:pPr>
        <w:pStyle w:val="216"/>
      </w:pPr>
      <w:r>
        <w:rPr>
          <w:rFonts w:hint="eastAsia"/>
        </w:rPr>
        <w:t>验证方式。填写核查本项目年度目标是否达成的方法，如“再次监督抽查”“抽样检测”“现场复核”“体系审核”等。</w:t>
      </w:r>
    </w:p>
    <w:p w14:paraId="49EC9F92">
      <w:pPr>
        <w:pStyle w:val="216"/>
      </w:pPr>
      <w:r>
        <w:rPr>
          <w:rFonts w:hint="eastAsia"/>
        </w:rPr>
        <w:t>对接监管部门。填写与本帮扶项目对应的监管部门（或监管业务条线），用于明确监管部门与帮扶机构之间的职责衔接。</w:t>
      </w:r>
    </w:p>
    <w:p w14:paraId="15B26F1F">
      <w:pPr>
        <w:pStyle w:val="216"/>
      </w:pPr>
      <w:r>
        <w:rPr>
          <w:rFonts w:hint="eastAsia"/>
        </w:rPr>
        <w:t>备注。填写与本项目相关的政策依据、标准条款、特殊要求或需关注的其他事项。</w:t>
      </w:r>
    </w:p>
    <w:p w14:paraId="795DABE2">
      <w:pPr>
        <w:pStyle w:val="82"/>
        <w:spacing w:before="120" w:after="120"/>
        <w:rPr>
          <w:shd w:val="clear" w:color="auto" w:fill="FFFFFF"/>
        </w:rPr>
      </w:pPr>
      <w:r>
        <w:rPr>
          <w:rFonts w:hint="eastAsia"/>
          <w:shd w:val="clear" w:color="auto" w:fill="FFFFFF"/>
        </w:rPr>
        <w:t>帮扶清单格式</w:t>
      </w:r>
    </w:p>
    <w:p w14:paraId="19980313">
      <w:pPr>
        <w:pStyle w:val="60"/>
        <w:ind w:firstLine="420"/>
      </w:pPr>
      <w:r>
        <w:rPr>
          <w:rFonts w:hint="eastAsia"/>
        </w:rPr>
        <w:t>表D.1给出了帮扶清单的参考格式。</w:t>
      </w:r>
    </w:p>
    <w:p w14:paraId="77BAC10C">
      <w:pPr>
        <w:spacing w:before="40" w:after="40"/>
        <w:ind w:firstLine="420"/>
        <w:rPr>
          <w:rFonts w:ascii="宋体" w:hAnsi="宋体"/>
        </w:rPr>
      </w:pPr>
    </w:p>
    <w:p w14:paraId="528CDEB2">
      <w:pPr>
        <w:spacing w:before="40" w:after="40"/>
        <w:ind w:firstLine="420"/>
        <w:rPr>
          <w:rFonts w:ascii="宋体" w:hAnsi="宋体"/>
        </w:rPr>
      </w:pPr>
    </w:p>
    <w:p w14:paraId="01483DE4">
      <w:pPr>
        <w:spacing w:before="40" w:after="40"/>
        <w:ind w:firstLine="420"/>
        <w:rPr>
          <w:rFonts w:ascii="宋体" w:hAnsi="宋体"/>
        </w:rPr>
      </w:pPr>
    </w:p>
    <w:p w14:paraId="4B7B0488">
      <w:pPr>
        <w:spacing w:before="40" w:after="40"/>
        <w:ind w:firstLine="420"/>
        <w:rPr>
          <w:rFonts w:ascii="宋体" w:hAnsi="宋体"/>
        </w:rPr>
      </w:pPr>
    </w:p>
    <w:p w14:paraId="4969B1CB">
      <w:pPr>
        <w:spacing w:before="40" w:after="40"/>
        <w:ind w:firstLine="420"/>
        <w:rPr>
          <w:rFonts w:ascii="宋体" w:hAnsi="宋体"/>
        </w:rPr>
      </w:pPr>
    </w:p>
    <w:p w14:paraId="76D69C9F">
      <w:pPr>
        <w:pStyle w:val="81"/>
        <w:spacing w:before="120" w:after="120"/>
      </w:pPr>
      <w:r>
        <w:t>帮扶清单</w:t>
      </w:r>
    </w:p>
    <w:tbl>
      <w:tblPr>
        <w:tblStyle w:val="29"/>
        <w:tblW w:w="9570"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421"/>
        <w:gridCol w:w="696"/>
        <w:gridCol w:w="988"/>
        <w:gridCol w:w="1468"/>
        <w:gridCol w:w="738"/>
        <w:gridCol w:w="637"/>
        <w:gridCol w:w="580"/>
        <w:gridCol w:w="1137"/>
        <w:gridCol w:w="914"/>
        <w:gridCol w:w="1357"/>
        <w:gridCol w:w="634"/>
      </w:tblGrid>
      <w:tr w14:paraId="3AABCD9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2105" w:type="dxa"/>
            <w:gridSpan w:val="3"/>
            <w:tcBorders>
              <w:top w:val="single" w:color="000000" w:sz="8" w:space="0"/>
              <w:bottom w:val="single" w:color="000000" w:sz="8" w:space="0"/>
            </w:tcBorders>
            <w:shd w:val="clear" w:color="auto" w:fill="FFFFFF" w:themeFill="background1"/>
            <w:vAlign w:val="center"/>
          </w:tcPr>
          <w:p w14:paraId="224384D6">
            <w:pPr>
              <w:spacing w:line="240" w:lineRule="auto"/>
              <w:jc w:val="left"/>
              <w:rPr>
                <w:bCs/>
                <w:sz w:val="18"/>
                <w:szCs w:val="18"/>
              </w:rPr>
            </w:pPr>
            <w:r>
              <w:rPr>
                <w:rFonts w:hint="eastAsia" w:ascii="宋体" w:hAnsi="宋体"/>
                <w:bCs/>
                <w:sz w:val="18"/>
                <w:szCs w:val="18"/>
              </w:rPr>
              <w:t>帮扶周期</w:t>
            </w:r>
            <w:r>
              <w:rPr>
                <w:rFonts w:ascii="宋体" w:hAnsi="宋体"/>
                <w:bCs/>
                <w:sz w:val="18"/>
                <w:szCs w:val="18"/>
              </w:rPr>
              <w:t>/年度：</w:t>
            </w:r>
          </w:p>
        </w:tc>
        <w:tc>
          <w:tcPr>
            <w:tcW w:w="2843" w:type="dxa"/>
            <w:gridSpan w:val="3"/>
            <w:tcBorders>
              <w:top w:val="single" w:color="000000" w:sz="8" w:space="0"/>
              <w:bottom w:val="single" w:color="000000" w:sz="8" w:space="0"/>
            </w:tcBorders>
            <w:shd w:val="clear" w:color="auto" w:fill="FFFFFF" w:themeFill="background1"/>
            <w:vAlign w:val="center"/>
          </w:tcPr>
          <w:p w14:paraId="134BD000">
            <w:pPr>
              <w:spacing w:line="240" w:lineRule="auto"/>
              <w:jc w:val="left"/>
              <w:rPr>
                <w:bCs/>
                <w:sz w:val="18"/>
                <w:szCs w:val="18"/>
              </w:rPr>
            </w:pPr>
            <w:r>
              <w:rPr>
                <w:rFonts w:hint="eastAsia" w:ascii="宋体" w:hAnsi="宋体"/>
                <w:bCs/>
                <w:sz w:val="18"/>
                <w:szCs w:val="18"/>
              </w:rPr>
              <w:t>主管监管部门：</w:t>
            </w:r>
          </w:p>
        </w:tc>
        <w:tc>
          <w:tcPr>
            <w:tcW w:w="1717" w:type="dxa"/>
            <w:gridSpan w:val="2"/>
            <w:tcBorders>
              <w:top w:val="single" w:color="000000" w:sz="8" w:space="0"/>
              <w:bottom w:val="single" w:color="000000" w:sz="8" w:space="0"/>
            </w:tcBorders>
            <w:shd w:val="clear" w:color="auto" w:fill="FFFFFF" w:themeFill="background1"/>
            <w:vAlign w:val="center"/>
          </w:tcPr>
          <w:p w14:paraId="5E7743B3">
            <w:pPr>
              <w:spacing w:line="240" w:lineRule="auto"/>
              <w:jc w:val="left"/>
              <w:rPr>
                <w:bCs/>
                <w:sz w:val="18"/>
                <w:szCs w:val="18"/>
              </w:rPr>
            </w:pPr>
            <w:r>
              <w:rPr>
                <w:rFonts w:hint="eastAsia" w:ascii="宋体" w:hAnsi="宋体"/>
                <w:bCs/>
                <w:sz w:val="18"/>
                <w:szCs w:val="18"/>
              </w:rPr>
              <w:t>编制机构：</w:t>
            </w:r>
          </w:p>
        </w:tc>
        <w:tc>
          <w:tcPr>
            <w:tcW w:w="2271" w:type="dxa"/>
            <w:gridSpan w:val="2"/>
            <w:tcBorders>
              <w:top w:val="single" w:color="000000" w:sz="8" w:space="0"/>
              <w:bottom w:val="single" w:color="000000" w:sz="8" w:space="0"/>
            </w:tcBorders>
            <w:shd w:val="clear" w:color="auto" w:fill="FFFFFF" w:themeFill="background1"/>
            <w:vAlign w:val="center"/>
          </w:tcPr>
          <w:p w14:paraId="206D109B">
            <w:pPr>
              <w:spacing w:line="240" w:lineRule="auto"/>
              <w:jc w:val="left"/>
              <w:rPr>
                <w:bCs/>
                <w:sz w:val="18"/>
                <w:szCs w:val="18"/>
              </w:rPr>
            </w:pPr>
            <w:r>
              <w:rPr>
                <w:rFonts w:hint="eastAsia" w:ascii="宋体" w:hAnsi="宋体"/>
                <w:bCs/>
                <w:sz w:val="18"/>
                <w:szCs w:val="18"/>
              </w:rPr>
              <w:t>编制日期：</w:t>
            </w:r>
          </w:p>
        </w:tc>
        <w:tc>
          <w:tcPr>
            <w:tcW w:w="634" w:type="dxa"/>
            <w:tcBorders>
              <w:top w:val="single" w:color="000000" w:sz="8" w:space="0"/>
              <w:bottom w:val="single" w:color="000000" w:sz="8" w:space="0"/>
            </w:tcBorders>
            <w:shd w:val="clear" w:color="auto" w:fill="FFFFFF" w:themeFill="background1"/>
            <w:vAlign w:val="center"/>
          </w:tcPr>
          <w:p w14:paraId="1322D757">
            <w:pPr>
              <w:spacing w:line="240" w:lineRule="auto"/>
              <w:jc w:val="left"/>
              <w:rPr>
                <w:bCs/>
                <w:sz w:val="18"/>
                <w:szCs w:val="18"/>
              </w:rPr>
            </w:pPr>
            <w:r>
              <w:rPr>
                <w:rFonts w:hint="eastAsia" w:ascii="宋体" w:hAnsi="宋体"/>
                <w:bCs/>
                <w:sz w:val="18"/>
                <w:szCs w:val="18"/>
              </w:rPr>
              <w:t>清单编号：</w:t>
            </w:r>
          </w:p>
        </w:tc>
      </w:tr>
      <w:tr w14:paraId="5DE4398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1" w:type="dxa"/>
            <w:tcBorders>
              <w:top w:val="single" w:color="000000" w:sz="8" w:space="0"/>
            </w:tcBorders>
            <w:shd w:val="clear" w:color="auto" w:fill="FFFFFF" w:themeFill="background1"/>
            <w:vAlign w:val="center"/>
          </w:tcPr>
          <w:p w14:paraId="6BFB0167">
            <w:pPr>
              <w:spacing w:line="240" w:lineRule="auto"/>
              <w:jc w:val="left"/>
              <w:rPr>
                <w:rFonts w:ascii="宋体" w:hAnsi="宋体"/>
                <w:bCs/>
                <w:sz w:val="18"/>
              </w:rPr>
            </w:pPr>
            <w:r>
              <w:rPr>
                <w:rFonts w:hint="eastAsia" w:ascii="宋体" w:hAnsi="宋体"/>
                <w:bCs/>
                <w:sz w:val="18"/>
              </w:rPr>
              <w:t>序</w:t>
            </w:r>
            <w:r>
              <w:rPr>
                <w:rFonts w:hint="eastAsia" w:ascii="宋体" w:hAnsi="宋体"/>
                <w:bCs/>
                <w:sz w:val="18"/>
              </w:rPr>
              <w:br w:type="textWrapping"/>
            </w:r>
            <w:r>
              <w:rPr>
                <w:rFonts w:hint="eastAsia" w:ascii="宋体" w:hAnsi="宋体"/>
                <w:bCs/>
                <w:sz w:val="18"/>
              </w:rPr>
              <w:t>号</w:t>
            </w:r>
          </w:p>
        </w:tc>
        <w:tc>
          <w:tcPr>
            <w:tcW w:w="696" w:type="dxa"/>
            <w:tcBorders>
              <w:top w:val="single" w:color="000000" w:sz="8" w:space="0"/>
            </w:tcBorders>
            <w:shd w:val="clear" w:color="auto" w:fill="FFFFFF" w:themeFill="background1"/>
            <w:vAlign w:val="center"/>
          </w:tcPr>
          <w:p w14:paraId="1771CDAC">
            <w:pPr>
              <w:spacing w:line="240" w:lineRule="auto"/>
              <w:jc w:val="left"/>
              <w:rPr>
                <w:rFonts w:ascii="宋体" w:hAnsi="宋体"/>
                <w:bCs/>
                <w:sz w:val="18"/>
              </w:rPr>
            </w:pPr>
            <w:r>
              <w:rPr>
                <w:rFonts w:hint="eastAsia" w:ascii="宋体" w:hAnsi="宋体"/>
                <w:bCs/>
                <w:sz w:val="18"/>
              </w:rPr>
              <w:t>服务</w:t>
            </w:r>
            <w:r>
              <w:rPr>
                <w:rFonts w:hint="eastAsia" w:ascii="宋体" w:hAnsi="宋体"/>
                <w:bCs/>
                <w:sz w:val="18"/>
              </w:rPr>
              <w:br w:type="textWrapping"/>
            </w:r>
            <w:r>
              <w:rPr>
                <w:rFonts w:hint="eastAsia" w:ascii="宋体" w:hAnsi="宋体"/>
                <w:bCs/>
                <w:sz w:val="18"/>
              </w:rPr>
              <w:t>类型</w:t>
            </w:r>
          </w:p>
        </w:tc>
        <w:tc>
          <w:tcPr>
            <w:tcW w:w="988" w:type="dxa"/>
            <w:tcBorders>
              <w:top w:val="single" w:color="000000" w:sz="8" w:space="0"/>
            </w:tcBorders>
            <w:shd w:val="clear" w:color="auto" w:fill="FFFFFF" w:themeFill="background1"/>
            <w:vAlign w:val="center"/>
          </w:tcPr>
          <w:p w14:paraId="03EBFFB4">
            <w:pPr>
              <w:spacing w:line="240" w:lineRule="auto"/>
              <w:jc w:val="left"/>
              <w:rPr>
                <w:rFonts w:ascii="宋体" w:hAnsi="宋体"/>
                <w:bCs/>
                <w:sz w:val="18"/>
              </w:rPr>
            </w:pPr>
            <w:r>
              <w:rPr>
                <w:rFonts w:hint="eastAsia" w:ascii="宋体" w:hAnsi="宋体"/>
                <w:bCs/>
                <w:sz w:val="18"/>
              </w:rPr>
              <w:t>适用质量</w:t>
            </w:r>
            <w:r>
              <w:rPr>
                <w:rFonts w:hint="eastAsia" w:ascii="宋体" w:hAnsi="宋体"/>
                <w:bCs/>
                <w:sz w:val="18"/>
              </w:rPr>
              <w:br w:type="textWrapping"/>
            </w:r>
            <w:r>
              <w:rPr>
                <w:rFonts w:hint="eastAsia" w:ascii="宋体" w:hAnsi="宋体"/>
                <w:bCs/>
                <w:sz w:val="18"/>
              </w:rPr>
              <w:t>问题类型</w:t>
            </w:r>
          </w:p>
        </w:tc>
        <w:tc>
          <w:tcPr>
            <w:tcW w:w="1468" w:type="dxa"/>
            <w:tcBorders>
              <w:top w:val="single" w:color="000000" w:sz="8" w:space="0"/>
            </w:tcBorders>
            <w:shd w:val="clear" w:color="auto" w:fill="FFFFFF" w:themeFill="background1"/>
            <w:vAlign w:val="center"/>
          </w:tcPr>
          <w:p w14:paraId="0FBD430F">
            <w:pPr>
              <w:spacing w:line="240" w:lineRule="auto"/>
              <w:jc w:val="left"/>
              <w:rPr>
                <w:rFonts w:ascii="宋体" w:hAnsi="宋体"/>
                <w:bCs/>
                <w:sz w:val="18"/>
              </w:rPr>
            </w:pPr>
            <w:r>
              <w:rPr>
                <w:rFonts w:hint="eastAsia" w:ascii="宋体" w:hAnsi="宋体"/>
                <w:bCs/>
                <w:sz w:val="18"/>
              </w:rPr>
              <w:t>服务内容</w:t>
            </w:r>
          </w:p>
        </w:tc>
        <w:tc>
          <w:tcPr>
            <w:tcW w:w="738" w:type="dxa"/>
            <w:tcBorders>
              <w:top w:val="single" w:color="000000" w:sz="8" w:space="0"/>
            </w:tcBorders>
            <w:shd w:val="clear" w:color="auto" w:fill="FFFFFF" w:themeFill="background1"/>
            <w:vAlign w:val="center"/>
          </w:tcPr>
          <w:p w14:paraId="6AC23F6F">
            <w:pPr>
              <w:spacing w:line="240" w:lineRule="auto"/>
              <w:jc w:val="left"/>
              <w:rPr>
                <w:rFonts w:ascii="宋体" w:hAnsi="宋体"/>
                <w:bCs/>
                <w:sz w:val="18"/>
              </w:rPr>
            </w:pPr>
            <w:r>
              <w:rPr>
                <w:rFonts w:hint="eastAsia" w:ascii="宋体" w:hAnsi="宋体"/>
                <w:bCs/>
                <w:sz w:val="18"/>
              </w:rPr>
              <w:t>负责机构</w:t>
            </w:r>
            <w:r>
              <w:rPr>
                <w:rFonts w:hint="eastAsia" w:ascii="宋体" w:hAnsi="宋体"/>
                <w:bCs/>
                <w:sz w:val="18"/>
              </w:rPr>
              <w:br w:type="textWrapping"/>
            </w:r>
            <w:r>
              <w:rPr>
                <w:rFonts w:hint="eastAsia" w:ascii="宋体" w:hAnsi="宋体"/>
                <w:bCs/>
                <w:sz w:val="18"/>
              </w:rPr>
              <w:t>/专家</w:t>
            </w:r>
          </w:p>
        </w:tc>
        <w:tc>
          <w:tcPr>
            <w:tcW w:w="637" w:type="dxa"/>
            <w:tcBorders>
              <w:top w:val="single" w:color="000000" w:sz="8" w:space="0"/>
            </w:tcBorders>
            <w:shd w:val="clear" w:color="auto" w:fill="FFFFFF" w:themeFill="background1"/>
            <w:vAlign w:val="center"/>
          </w:tcPr>
          <w:p w14:paraId="39086CE0">
            <w:pPr>
              <w:spacing w:line="240" w:lineRule="auto"/>
              <w:jc w:val="left"/>
              <w:rPr>
                <w:rFonts w:ascii="宋体" w:hAnsi="宋体"/>
                <w:bCs/>
                <w:sz w:val="18"/>
              </w:rPr>
            </w:pPr>
            <w:r>
              <w:rPr>
                <w:rFonts w:hint="eastAsia" w:ascii="宋体" w:hAnsi="宋体"/>
                <w:bCs/>
                <w:sz w:val="18"/>
              </w:rPr>
              <w:t>拟覆盖</w:t>
            </w:r>
            <w:r>
              <w:rPr>
                <w:rFonts w:hint="eastAsia" w:ascii="宋体" w:hAnsi="宋体"/>
                <w:bCs/>
                <w:sz w:val="18"/>
              </w:rPr>
              <w:br w:type="textWrapping"/>
            </w:r>
            <w:r>
              <w:rPr>
                <w:rFonts w:hint="eastAsia" w:ascii="宋体" w:hAnsi="宋体"/>
                <w:bCs/>
                <w:sz w:val="18"/>
              </w:rPr>
              <w:t>企业数量</w:t>
            </w:r>
          </w:p>
        </w:tc>
        <w:tc>
          <w:tcPr>
            <w:tcW w:w="580" w:type="dxa"/>
            <w:tcBorders>
              <w:top w:val="single" w:color="000000" w:sz="8" w:space="0"/>
            </w:tcBorders>
            <w:shd w:val="clear" w:color="auto" w:fill="FFFFFF" w:themeFill="background1"/>
            <w:vAlign w:val="center"/>
          </w:tcPr>
          <w:p w14:paraId="1345A844">
            <w:pPr>
              <w:spacing w:line="240" w:lineRule="auto"/>
              <w:jc w:val="left"/>
              <w:rPr>
                <w:rFonts w:ascii="宋体" w:hAnsi="宋体"/>
                <w:bCs/>
                <w:sz w:val="18"/>
              </w:rPr>
            </w:pPr>
            <w:r>
              <w:rPr>
                <w:rFonts w:hint="eastAsia" w:ascii="宋体" w:hAnsi="宋体"/>
                <w:bCs/>
                <w:sz w:val="18"/>
              </w:rPr>
              <w:t>计划实施</w:t>
            </w:r>
            <w:r>
              <w:rPr>
                <w:rFonts w:hint="eastAsia" w:ascii="宋体" w:hAnsi="宋体"/>
                <w:bCs/>
                <w:sz w:val="18"/>
              </w:rPr>
              <w:br w:type="textWrapping"/>
            </w:r>
            <w:r>
              <w:rPr>
                <w:rFonts w:hint="eastAsia" w:ascii="宋体" w:hAnsi="宋体"/>
                <w:bCs/>
                <w:sz w:val="18"/>
              </w:rPr>
              <w:t>时段</w:t>
            </w:r>
          </w:p>
        </w:tc>
        <w:tc>
          <w:tcPr>
            <w:tcW w:w="1137" w:type="dxa"/>
            <w:tcBorders>
              <w:top w:val="single" w:color="000000" w:sz="8" w:space="0"/>
            </w:tcBorders>
            <w:shd w:val="clear" w:color="auto" w:fill="FFFFFF" w:themeFill="background1"/>
            <w:vAlign w:val="center"/>
          </w:tcPr>
          <w:p w14:paraId="7254F8D7">
            <w:pPr>
              <w:spacing w:line="240" w:lineRule="auto"/>
              <w:jc w:val="left"/>
              <w:rPr>
                <w:rFonts w:ascii="宋体" w:hAnsi="宋体"/>
                <w:bCs/>
                <w:sz w:val="18"/>
              </w:rPr>
            </w:pPr>
            <w:r>
              <w:rPr>
                <w:rFonts w:hint="eastAsia" w:ascii="宋体" w:hAnsi="宋体"/>
                <w:bCs/>
                <w:sz w:val="18"/>
              </w:rPr>
              <w:t>量化目标</w:t>
            </w:r>
          </w:p>
        </w:tc>
        <w:tc>
          <w:tcPr>
            <w:tcW w:w="914" w:type="dxa"/>
            <w:tcBorders>
              <w:top w:val="single" w:color="000000" w:sz="8" w:space="0"/>
            </w:tcBorders>
            <w:shd w:val="clear" w:color="auto" w:fill="FFFFFF" w:themeFill="background1"/>
            <w:vAlign w:val="center"/>
          </w:tcPr>
          <w:p w14:paraId="40DB3C87">
            <w:pPr>
              <w:spacing w:line="240" w:lineRule="auto"/>
              <w:jc w:val="left"/>
              <w:rPr>
                <w:rFonts w:ascii="宋体" w:hAnsi="宋体"/>
                <w:bCs/>
                <w:sz w:val="18"/>
              </w:rPr>
            </w:pPr>
            <w:r>
              <w:rPr>
                <w:rFonts w:hint="eastAsia" w:ascii="宋体" w:hAnsi="宋体"/>
                <w:bCs/>
                <w:sz w:val="18"/>
              </w:rPr>
              <w:t>验证方式</w:t>
            </w:r>
          </w:p>
        </w:tc>
        <w:tc>
          <w:tcPr>
            <w:tcW w:w="1357" w:type="dxa"/>
            <w:tcBorders>
              <w:top w:val="single" w:color="000000" w:sz="8" w:space="0"/>
            </w:tcBorders>
            <w:shd w:val="clear" w:color="auto" w:fill="FFFFFF" w:themeFill="background1"/>
            <w:vAlign w:val="center"/>
          </w:tcPr>
          <w:p w14:paraId="35ADDA97">
            <w:pPr>
              <w:spacing w:line="240" w:lineRule="auto"/>
              <w:jc w:val="left"/>
              <w:rPr>
                <w:rFonts w:ascii="宋体" w:hAnsi="宋体"/>
                <w:bCs/>
                <w:sz w:val="18"/>
              </w:rPr>
            </w:pPr>
            <w:r>
              <w:rPr>
                <w:rFonts w:hint="eastAsia" w:ascii="宋体" w:hAnsi="宋体"/>
                <w:bCs/>
                <w:sz w:val="18"/>
              </w:rPr>
              <w:t>对接监管</w:t>
            </w:r>
            <w:r>
              <w:rPr>
                <w:rFonts w:hint="eastAsia" w:ascii="宋体" w:hAnsi="宋体"/>
                <w:bCs/>
                <w:sz w:val="18"/>
              </w:rPr>
              <w:br w:type="textWrapping"/>
            </w:r>
            <w:r>
              <w:rPr>
                <w:rFonts w:hint="eastAsia" w:ascii="宋体" w:hAnsi="宋体"/>
                <w:bCs/>
                <w:sz w:val="18"/>
              </w:rPr>
              <w:t>部门</w:t>
            </w:r>
          </w:p>
        </w:tc>
        <w:tc>
          <w:tcPr>
            <w:tcW w:w="634" w:type="dxa"/>
            <w:tcBorders>
              <w:top w:val="single" w:color="000000" w:sz="8" w:space="0"/>
            </w:tcBorders>
            <w:shd w:val="clear" w:color="auto" w:fill="FFFFFF" w:themeFill="background1"/>
            <w:vAlign w:val="center"/>
          </w:tcPr>
          <w:p w14:paraId="69A79AA2">
            <w:pPr>
              <w:spacing w:line="240" w:lineRule="auto"/>
              <w:jc w:val="left"/>
              <w:rPr>
                <w:rFonts w:ascii="宋体" w:hAnsi="宋体"/>
                <w:bCs/>
                <w:sz w:val="18"/>
              </w:rPr>
            </w:pPr>
            <w:r>
              <w:rPr>
                <w:rFonts w:hint="eastAsia" w:ascii="宋体" w:hAnsi="宋体"/>
                <w:bCs/>
                <w:sz w:val="18"/>
              </w:rPr>
              <w:t>备注</w:t>
            </w:r>
          </w:p>
        </w:tc>
      </w:tr>
      <w:tr w14:paraId="0B3E23E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421" w:type="dxa"/>
            <w:shd w:val="clear" w:color="auto" w:fill="FFFFFF"/>
            <w:vAlign w:val="center"/>
          </w:tcPr>
          <w:p w14:paraId="177EDEFC">
            <w:pPr>
              <w:spacing w:line="240" w:lineRule="auto"/>
              <w:jc w:val="left"/>
              <w:rPr>
                <w:rFonts w:ascii="宋体" w:hAnsi="宋体"/>
                <w:bCs/>
                <w:sz w:val="18"/>
              </w:rPr>
            </w:pPr>
            <w:r>
              <w:rPr>
                <w:rFonts w:hint="eastAsia" w:ascii="宋体" w:hAnsi="宋体"/>
                <w:bCs/>
                <w:sz w:val="18"/>
              </w:rPr>
              <w:t>1</w:t>
            </w:r>
          </w:p>
        </w:tc>
        <w:tc>
          <w:tcPr>
            <w:tcW w:w="696" w:type="dxa"/>
            <w:shd w:val="clear" w:color="auto" w:fill="FFFFFF"/>
            <w:vAlign w:val="center"/>
          </w:tcPr>
          <w:p w14:paraId="793D2A35">
            <w:pPr>
              <w:spacing w:line="240" w:lineRule="auto"/>
              <w:jc w:val="left"/>
              <w:rPr>
                <w:rFonts w:ascii="宋体" w:hAnsi="宋体"/>
                <w:bCs/>
                <w:sz w:val="18"/>
              </w:rPr>
            </w:pPr>
            <w:r>
              <w:rPr>
                <w:rFonts w:hint="eastAsia" w:ascii="宋体" w:hAnsi="宋体"/>
                <w:bCs/>
                <w:sz w:val="18"/>
              </w:rPr>
              <w:t>现场诊断类</w:t>
            </w:r>
          </w:p>
        </w:tc>
        <w:tc>
          <w:tcPr>
            <w:tcW w:w="988" w:type="dxa"/>
            <w:shd w:val="clear" w:color="auto" w:fill="FFFFFF"/>
            <w:vAlign w:val="center"/>
          </w:tcPr>
          <w:p w14:paraId="3A892A17">
            <w:pPr>
              <w:spacing w:line="240" w:lineRule="auto"/>
              <w:jc w:val="left"/>
              <w:rPr>
                <w:rFonts w:ascii="宋体" w:hAnsi="宋体"/>
                <w:bCs/>
                <w:sz w:val="18"/>
              </w:rPr>
            </w:pPr>
            <w:r>
              <w:rPr>
                <w:rFonts w:hint="eastAsia" w:ascii="宋体" w:hAnsi="宋体"/>
                <w:bCs/>
                <w:sz w:val="18"/>
              </w:rPr>
              <w:t>监督抽查不合格</w:t>
            </w:r>
            <w:r>
              <w:rPr>
                <w:rFonts w:hint="eastAsia" w:ascii="宋体" w:hAnsi="宋体"/>
                <w:bCs/>
                <w:sz w:val="18"/>
              </w:rPr>
              <w:br w:type="textWrapping"/>
            </w:r>
            <w:r>
              <w:rPr>
                <w:rFonts w:hint="eastAsia" w:ascii="宋体" w:hAnsi="宋体"/>
                <w:bCs/>
                <w:sz w:val="18"/>
              </w:rPr>
              <w:t>产品关键指标超标</w:t>
            </w:r>
            <w:r>
              <w:rPr>
                <w:rFonts w:hint="eastAsia" w:ascii="宋体" w:hAnsi="宋体"/>
                <w:bCs/>
                <w:sz w:val="18"/>
              </w:rPr>
              <w:br w:type="textWrapping"/>
            </w:r>
            <w:r>
              <w:rPr>
                <w:rFonts w:hint="eastAsia" w:ascii="宋体" w:hAnsi="宋体"/>
                <w:bCs/>
                <w:sz w:val="18"/>
              </w:rPr>
              <w:t>工艺过程失控</w:t>
            </w:r>
          </w:p>
        </w:tc>
        <w:tc>
          <w:tcPr>
            <w:tcW w:w="1468" w:type="dxa"/>
            <w:shd w:val="clear" w:color="auto" w:fill="FFFFFF"/>
            <w:vAlign w:val="center"/>
          </w:tcPr>
          <w:p w14:paraId="3B20917E">
            <w:pPr>
              <w:spacing w:line="240" w:lineRule="auto"/>
              <w:jc w:val="left"/>
              <w:rPr>
                <w:rFonts w:ascii="宋体" w:hAnsi="宋体"/>
                <w:bCs/>
                <w:sz w:val="18"/>
              </w:rPr>
            </w:pPr>
            <w:r>
              <w:rPr>
                <w:rFonts w:hint="eastAsia" w:ascii="宋体" w:hAnsi="宋体"/>
                <w:bCs/>
                <w:sz w:val="18"/>
              </w:rPr>
              <w:t>组织专家赴企业开展工艺全流程诊断、关键设备核验及工装检定，出具诊断报告，逐项跟踪整改落实情况，至问题闭环</w:t>
            </w:r>
          </w:p>
        </w:tc>
        <w:tc>
          <w:tcPr>
            <w:tcW w:w="738" w:type="dxa"/>
            <w:shd w:val="clear" w:color="auto" w:fill="FFFFFF"/>
            <w:vAlign w:val="center"/>
          </w:tcPr>
          <w:p w14:paraId="6B7A6025">
            <w:pPr>
              <w:spacing w:line="240" w:lineRule="auto"/>
              <w:jc w:val="left"/>
              <w:rPr>
                <w:rFonts w:ascii="宋体" w:hAnsi="宋体"/>
                <w:bCs/>
                <w:sz w:val="18"/>
              </w:rPr>
            </w:pPr>
            <w:r>
              <w:rPr>
                <w:rFonts w:hint="eastAsia" w:ascii="宋体" w:hAnsi="宋体"/>
                <w:bCs/>
                <w:sz w:val="18"/>
              </w:rPr>
              <w:t>XX技术机构</w:t>
            </w:r>
            <w:r>
              <w:rPr>
                <w:rFonts w:hint="eastAsia" w:ascii="宋体" w:hAnsi="宋体"/>
                <w:bCs/>
                <w:sz w:val="18"/>
              </w:rPr>
              <w:br w:type="textWrapping"/>
            </w:r>
            <w:r>
              <w:rPr>
                <w:rFonts w:hint="eastAsia" w:ascii="宋体" w:hAnsi="宋体"/>
                <w:bCs/>
                <w:sz w:val="18"/>
              </w:rPr>
              <w:t>（张工）</w:t>
            </w:r>
          </w:p>
        </w:tc>
        <w:tc>
          <w:tcPr>
            <w:tcW w:w="637" w:type="dxa"/>
            <w:shd w:val="clear" w:color="auto" w:fill="FFFFFF"/>
            <w:vAlign w:val="center"/>
          </w:tcPr>
          <w:p w14:paraId="50C74F52">
            <w:pPr>
              <w:spacing w:line="240" w:lineRule="auto"/>
              <w:jc w:val="left"/>
              <w:rPr>
                <w:rFonts w:ascii="宋体" w:hAnsi="宋体"/>
                <w:bCs/>
                <w:sz w:val="18"/>
              </w:rPr>
            </w:pPr>
            <w:r>
              <w:rPr>
                <w:rFonts w:hint="eastAsia" w:ascii="宋体" w:hAnsi="宋体"/>
                <w:bCs/>
                <w:sz w:val="18"/>
              </w:rPr>
              <w:t>10家</w:t>
            </w:r>
          </w:p>
        </w:tc>
        <w:tc>
          <w:tcPr>
            <w:tcW w:w="580" w:type="dxa"/>
            <w:shd w:val="clear" w:color="auto" w:fill="FFFFFF"/>
            <w:vAlign w:val="center"/>
          </w:tcPr>
          <w:p w14:paraId="093ADB94">
            <w:pPr>
              <w:spacing w:line="240" w:lineRule="auto"/>
              <w:jc w:val="left"/>
              <w:rPr>
                <w:rFonts w:ascii="宋体" w:hAnsi="宋体"/>
                <w:bCs/>
                <w:sz w:val="18"/>
              </w:rPr>
            </w:pPr>
            <w:r>
              <w:rPr>
                <w:rFonts w:hint="eastAsia" w:ascii="宋体" w:hAnsi="宋体"/>
                <w:bCs/>
                <w:sz w:val="18"/>
              </w:rPr>
              <w:t>20XX年X月—</w:t>
            </w:r>
            <w:r>
              <w:rPr>
                <w:rFonts w:hint="eastAsia" w:ascii="宋体" w:hAnsi="宋体"/>
                <w:bCs/>
                <w:sz w:val="18"/>
              </w:rPr>
              <w:br w:type="textWrapping"/>
            </w:r>
            <w:r>
              <w:rPr>
                <w:rFonts w:hint="eastAsia" w:ascii="宋体" w:hAnsi="宋体"/>
                <w:bCs/>
                <w:sz w:val="18"/>
              </w:rPr>
              <w:t>20XX年X月</w:t>
            </w:r>
          </w:p>
        </w:tc>
        <w:tc>
          <w:tcPr>
            <w:tcW w:w="1137" w:type="dxa"/>
            <w:shd w:val="clear" w:color="auto" w:fill="FFFFFF"/>
            <w:vAlign w:val="center"/>
          </w:tcPr>
          <w:p w14:paraId="320667A0">
            <w:pPr>
              <w:spacing w:line="240" w:lineRule="auto"/>
              <w:jc w:val="left"/>
              <w:rPr>
                <w:rFonts w:ascii="宋体" w:hAnsi="宋体"/>
                <w:bCs/>
                <w:sz w:val="18"/>
              </w:rPr>
            </w:pPr>
            <w:r>
              <w:rPr>
                <w:rFonts w:hint="eastAsia" w:ascii="宋体" w:hAnsi="宋体"/>
                <w:bCs/>
                <w:sz w:val="18"/>
              </w:rPr>
              <w:t>整改完成率≥95%；帮扶后再次抽查批次合格率≥90%；高风险问题整改闭环周期≤60天</w:t>
            </w:r>
          </w:p>
        </w:tc>
        <w:tc>
          <w:tcPr>
            <w:tcW w:w="914" w:type="dxa"/>
            <w:shd w:val="clear" w:color="auto" w:fill="FFFFFF"/>
            <w:vAlign w:val="center"/>
          </w:tcPr>
          <w:p w14:paraId="3AC23B12">
            <w:pPr>
              <w:spacing w:line="240" w:lineRule="auto"/>
              <w:jc w:val="left"/>
              <w:rPr>
                <w:rFonts w:ascii="宋体" w:hAnsi="宋体"/>
                <w:bCs/>
                <w:sz w:val="18"/>
              </w:rPr>
            </w:pPr>
            <w:r>
              <w:rPr>
                <w:rFonts w:hint="eastAsia" w:ascii="宋体" w:hAnsi="宋体"/>
                <w:bCs/>
                <w:sz w:val="18"/>
              </w:rPr>
              <w:t>再次监督抽查（≥2批次）；整改闭环报告审核</w:t>
            </w:r>
          </w:p>
        </w:tc>
        <w:tc>
          <w:tcPr>
            <w:tcW w:w="1357" w:type="dxa"/>
            <w:shd w:val="clear" w:color="auto" w:fill="FFFFFF"/>
            <w:vAlign w:val="center"/>
          </w:tcPr>
          <w:p w14:paraId="4860E221">
            <w:pPr>
              <w:spacing w:line="240" w:lineRule="auto"/>
              <w:jc w:val="left"/>
              <w:rPr>
                <w:rFonts w:ascii="宋体" w:hAnsi="宋体"/>
                <w:bCs/>
                <w:sz w:val="18"/>
              </w:rPr>
            </w:pPr>
            <w:r>
              <w:rPr>
                <w:rFonts w:hint="eastAsia" w:ascii="宋体" w:hAnsi="宋体"/>
                <w:bCs/>
                <w:sz w:val="18"/>
              </w:rPr>
              <w:t>市市场监管局</w:t>
            </w:r>
            <w:r>
              <w:rPr>
                <w:rFonts w:hint="eastAsia" w:ascii="宋体" w:hAnsi="宋体"/>
                <w:bCs/>
                <w:sz w:val="18"/>
              </w:rPr>
              <w:br w:type="textWrapping"/>
            </w:r>
            <w:r>
              <w:rPr>
                <w:rFonts w:hint="eastAsia" w:ascii="宋体" w:hAnsi="宋体"/>
                <w:bCs/>
                <w:sz w:val="18"/>
              </w:rPr>
              <w:t>质量监管科</w:t>
            </w:r>
          </w:p>
        </w:tc>
        <w:tc>
          <w:tcPr>
            <w:tcW w:w="634" w:type="dxa"/>
            <w:shd w:val="clear" w:color="auto" w:fill="FFFFFF"/>
            <w:vAlign w:val="center"/>
          </w:tcPr>
          <w:p w14:paraId="47CFD57E">
            <w:pPr>
              <w:spacing w:line="240" w:lineRule="auto"/>
              <w:jc w:val="left"/>
              <w:rPr>
                <w:rFonts w:ascii="宋体" w:hAnsi="宋体"/>
                <w:bCs/>
                <w:sz w:val="18"/>
              </w:rPr>
            </w:pPr>
            <w:r>
              <w:rPr>
                <w:rFonts w:hint="eastAsia" w:ascii="宋体" w:hAnsi="宋体"/>
                <w:bCs/>
                <w:sz w:val="18"/>
              </w:rPr>
              <w:t>优先安排上年度抽查不合格企业；结合监管线索动态调整帮扶对象</w:t>
            </w:r>
          </w:p>
        </w:tc>
      </w:tr>
      <w:tr w14:paraId="0C6C1EB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421" w:type="dxa"/>
            <w:shd w:val="clear" w:color="auto" w:fill="FFFFFF" w:themeFill="background1"/>
            <w:vAlign w:val="center"/>
          </w:tcPr>
          <w:p w14:paraId="69F35829">
            <w:pPr>
              <w:spacing w:line="240" w:lineRule="auto"/>
              <w:jc w:val="left"/>
              <w:rPr>
                <w:rFonts w:ascii="宋体" w:hAnsi="宋体"/>
                <w:bCs/>
                <w:sz w:val="18"/>
              </w:rPr>
            </w:pPr>
            <w:r>
              <w:rPr>
                <w:rFonts w:hint="eastAsia" w:ascii="宋体" w:hAnsi="宋体"/>
                <w:bCs/>
                <w:sz w:val="18"/>
              </w:rPr>
              <w:t>2</w:t>
            </w:r>
          </w:p>
        </w:tc>
        <w:tc>
          <w:tcPr>
            <w:tcW w:w="696" w:type="dxa"/>
            <w:shd w:val="clear" w:color="auto" w:fill="FFFFFF" w:themeFill="background1"/>
            <w:vAlign w:val="center"/>
          </w:tcPr>
          <w:p w14:paraId="378A0C8A">
            <w:pPr>
              <w:spacing w:line="240" w:lineRule="auto"/>
              <w:jc w:val="left"/>
              <w:rPr>
                <w:rFonts w:ascii="宋体" w:hAnsi="宋体"/>
                <w:bCs/>
                <w:sz w:val="18"/>
              </w:rPr>
            </w:pPr>
            <w:r>
              <w:rPr>
                <w:rFonts w:hint="eastAsia" w:ascii="宋体" w:hAnsi="宋体"/>
                <w:bCs/>
                <w:sz w:val="18"/>
              </w:rPr>
              <w:t>检验检测类</w:t>
            </w:r>
            <w:r>
              <w:rPr>
                <w:rFonts w:hint="eastAsia" w:ascii="宋体" w:hAnsi="宋体"/>
                <w:bCs/>
                <w:sz w:val="18"/>
              </w:rPr>
              <w:br w:type="textWrapping"/>
            </w:r>
            <w:r>
              <w:rPr>
                <w:rFonts w:hint="eastAsia" w:ascii="宋体" w:hAnsi="宋体"/>
                <w:bCs/>
                <w:sz w:val="18"/>
              </w:rPr>
              <w:t>（能力提升）</w:t>
            </w:r>
          </w:p>
        </w:tc>
        <w:tc>
          <w:tcPr>
            <w:tcW w:w="988" w:type="dxa"/>
            <w:shd w:val="clear" w:color="auto" w:fill="FFFFFF" w:themeFill="background1"/>
            <w:vAlign w:val="center"/>
          </w:tcPr>
          <w:p w14:paraId="460FD656">
            <w:pPr>
              <w:spacing w:line="240" w:lineRule="auto"/>
              <w:jc w:val="left"/>
              <w:rPr>
                <w:rFonts w:ascii="宋体" w:hAnsi="宋体"/>
                <w:bCs/>
                <w:sz w:val="18"/>
              </w:rPr>
            </w:pPr>
            <w:r>
              <w:rPr>
                <w:rFonts w:hint="eastAsia" w:ascii="宋体" w:hAnsi="宋体"/>
                <w:bCs/>
                <w:sz w:val="18"/>
              </w:rPr>
              <w:t>出厂检验能力不足</w:t>
            </w:r>
            <w:r>
              <w:rPr>
                <w:rFonts w:hint="eastAsia" w:ascii="宋体" w:hAnsi="宋体"/>
                <w:bCs/>
                <w:sz w:val="18"/>
              </w:rPr>
              <w:br w:type="textWrapping"/>
            </w:r>
            <w:r>
              <w:rPr>
                <w:rFonts w:hint="eastAsia" w:ascii="宋体" w:hAnsi="宋体"/>
                <w:bCs/>
                <w:sz w:val="18"/>
              </w:rPr>
              <w:t>检验方法不规范</w:t>
            </w:r>
            <w:r>
              <w:rPr>
                <w:rFonts w:hint="eastAsia" w:ascii="宋体" w:hAnsi="宋体"/>
                <w:bCs/>
                <w:sz w:val="18"/>
              </w:rPr>
              <w:br w:type="textWrapping"/>
            </w:r>
            <w:r>
              <w:rPr>
                <w:rFonts w:hint="eastAsia" w:ascii="宋体" w:hAnsi="宋体"/>
                <w:bCs/>
                <w:sz w:val="18"/>
              </w:rPr>
              <w:t>进货/过程检验缺失</w:t>
            </w:r>
          </w:p>
        </w:tc>
        <w:tc>
          <w:tcPr>
            <w:tcW w:w="1468" w:type="dxa"/>
            <w:shd w:val="clear" w:color="auto" w:fill="FFFFFF" w:themeFill="background1"/>
            <w:vAlign w:val="center"/>
          </w:tcPr>
          <w:p w14:paraId="689E70AA">
            <w:pPr>
              <w:spacing w:line="240" w:lineRule="auto"/>
              <w:jc w:val="left"/>
              <w:rPr>
                <w:rFonts w:ascii="宋体" w:hAnsi="宋体"/>
                <w:bCs/>
                <w:sz w:val="18"/>
              </w:rPr>
            </w:pPr>
            <w:r>
              <w:rPr>
                <w:rFonts w:hint="eastAsia" w:ascii="宋体" w:hAnsi="宋体"/>
                <w:bCs/>
                <w:sz w:val="18"/>
              </w:rPr>
              <w:t>提供检验方法培训、计量设备使用指导，协助企业建立进货/过程/出厂三级检验规程，开展现场检验操作演练</w:t>
            </w:r>
          </w:p>
        </w:tc>
        <w:tc>
          <w:tcPr>
            <w:tcW w:w="738" w:type="dxa"/>
            <w:shd w:val="clear" w:color="auto" w:fill="FFFFFF" w:themeFill="background1"/>
            <w:vAlign w:val="center"/>
          </w:tcPr>
          <w:p w14:paraId="21551847">
            <w:pPr>
              <w:spacing w:line="240" w:lineRule="auto"/>
              <w:jc w:val="left"/>
              <w:rPr>
                <w:rFonts w:ascii="宋体" w:hAnsi="宋体"/>
                <w:bCs/>
                <w:sz w:val="18"/>
              </w:rPr>
            </w:pPr>
            <w:r>
              <w:rPr>
                <w:rFonts w:hint="eastAsia" w:ascii="宋体" w:hAnsi="宋体"/>
                <w:bCs/>
                <w:sz w:val="18"/>
              </w:rPr>
              <w:t>XX检验检测机构</w:t>
            </w:r>
            <w:r>
              <w:rPr>
                <w:rFonts w:hint="eastAsia" w:ascii="宋体" w:hAnsi="宋体"/>
                <w:bCs/>
                <w:sz w:val="18"/>
              </w:rPr>
              <w:br w:type="textWrapping"/>
            </w:r>
            <w:r>
              <w:rPr>
                <w:rFonts w:hint="eastAsia" w:ascii="宋体" w:hAnsi="宋体"/>
                <w:bCs/>
                <w:sz w:val="18"/>
              </w:rPr>
              <w:t>（李工）</w:t>
            </w:r>
          </w:p>
        </w:tc>
        <w:tc>
          <w:tcPr>
            <w:tcW w:w="637" w:type="dxa"/>
            <w:shd w:val="clear" w:color="auto" w:fill="FFFFFF" w:themeFill="background1"/>
            <w:vAlign w:val="center"/>
          </w:tcPr>
          <w:p w14:paraId="5891328F">
            <w:pPr>
              <w:spacing w:line="240" w:lineRule="auto"/>
              <w:jc w:val="left"/>
              <w:rPr>
                <w:rFonts w:ascii="宋体" w:hAnsi="宋体"/>
                <w:bCs/>
                <w:sz w:val="18"/>
              </w:rPr>
            </w:pPr>
            <w:r>
              <w:rPr>
                <w:rFonts w:hint="eastAsia" w:ascii="宋体" w:hAnsi="宋体"/>
                <w:bCs/>
                <w:sz w:val="18"/>
              </w:rPr>
              <w:t>8家</w:t>
            </w:r>
          </w:p>
        </w:tc>
        <w:tc>
          <w:tcPr>
            <w:tcW w:w="580" w:type="dxa"/>
            <w:shd w:val="clear" w:color="auto" w:fill="FFFFFF" w:themeFill="background1"/>
            <w:vAlign w:val="center"/>
          </w:tcPr>
          <w:p w14:paraId="554D7ED3">
            <w:pPr>
              <w:spacing w:line="240" w:lineRule="auto"/>
              <w:jc w:val="left"/>
              <w:rPr>
                <w:rFonts w:ascii="宋体" w:hAnsi="宋体"/>
                <w:bCs/>
                <w:sz w:val="18"/>
              </w:rPr>
            </w:pPr>
            <w:r>
              <w:rPr>
                <w:rFonts w:hint="eastAsia" w:ascii="宋体" w:hAnsi="宋体"/>
                <w:bCs/>
                <w:sz w:val="18"/>
              </w:rPr>
              <w:t>20XX年X月—</w:t>
            </w:r>
            <w:r>
              <w:rPr>
                <w:rFonts w:hint="eastAsia" w:ascii="宋体" w:hAnsi="宋体"/>
                <w:bCs/>
                <w:sz w:val="18"/>
              </w:rPr>
              <w:br w:type="textWrapping"/>
            </w:r>
            <w:r>
              <w:rPr>
                <w:rFonts w:hint="eastAsia" w:ascii="宋体" w:hAnsi="宋体"/>
                <w:bCs/>
                <w:sz w:val="18"/>
              </w:rPr>
              <w:t>20XX年X月</w:t>
            </w:r>
          </w:p>
        </w:tc>
        <w:tc>
          <w:tcPr>
            <w:tcW w:w="1137" w:type="dxa"/>
            <w:shd w:val="clear" w:color="auto" w:fill="FFFFFF" w:themeFill="background1"/>
            <w:vAlign w:val="center"/>
          </w:tcPr>
          <w:p w14:paraId="19074D8E">
            <w:pPr>
              <w:spacing w:line="240" w:lineRule="auto"/>
              <w:jc w:val="left"/>
              <w:rPr>
                <w:rFonts w:ascii="宋体" w:hAnsi="宋体"/>
                <w:bCs/>
                <w:sz w:val="18"/>
              </w:rPr>
            </w:pPr>
            <w:r>
              <w:rPr>
                <w:rFonts w:hint="eastAsia" w:ascii="宋体" w:hAnsi="宋体"/>
                <w:bCs/>
                <w:sz w:val="18"/>
              </w:rPr>
              <w:t>企业产品出厂合格率提升至≥98%；三级检验规程建立完整度100%；关键计量设备检定率100%</w:t>
            </w:r>
          </w:p>
        </w:tc>
        <w:tc>
          <w:tcPr>
            <w:tcW w:w="914" w:type="dxa"/>
            <w:shd w:val="clear" w:color="auto" w:fill="FFFFFF" w:themeFill="background1"/>
            <w:vAlign w:val="center"/>
          </w:tcPr>
          <w:p w14:paraId="4836FF73">
            <w:pPr>
              <w:spacing w:line="240" w:lineRule="auto"/>
              <w:jc w:val="left"/>
              <w:rPr>
                <w:rFonts w:ascii="宋体" w:hAnsi="宋体"/>
                <w:bCs/>
                <w:sz w:val="18"/>
              </w:rPr>
            </w:pPr>
            <w:r>
              <w:rPr>
                <w:rFonts w:hint="eastAsia" w:ascii="宋体" w:hAnsi="宋体"/>
                <w:bCs/>
                <w:sz w:val="18"/>
              </w:rPr>
              <w:t>资料核查+抽样检测（≥3批次）；现场检验操作评估</w:t>
            </w:r>
          </w:p>
        </w:tc>
        <w:tc>
          <w:tcPr>
            <w:tcW w:w="1357" w:type="dxa"/>
            <w:shd w:val="clear" w:color="auto" w:fill="FFFFFF" w:themeFill="background1"/>
            <w:vAlign w:val="center"/>
          </w:tcPr>
          <w:p w14:paraId="00F2C7D5">
            <w:pPr>
              <w:spacing w:line="240" w:lineRule="auto"/>
              <w:jc w:val="left"/>
              <w:rPr>
                <w:rFonts w:ascii="宋体" w:hAnsi="宋体"/>
                <w:bCs/>
                <w:sz w:val="18"/>
              </w:rPr>
            </w:pPr>
            <w:r>
              <w:rPr>
                <w:rFonts w:hint="eastAsia" w:ascii="宋体" w:hAnsi="宋体"/>
                <w:bCs/>
                <w:sz w:val="18"/>
              </w:rPr>
              <w:t>市市场监管局</w:t>
            </w:r>
            <w:r>
              <w:rPr>
                <w:rFonts w:hint="eastAsia" w:ascii="宋体" w:hAnsi="宋体"/>
                <w:bCs/>
                <w:sz w:val="18"/>
              </w:rPr>
              <w:br w:type="textWrapping"/>
            </w:r>
            <w:r>
              <w:rPr>
                <w:rFonts w:hint="eastAsia" w:ascii="宋体" w:hAnsi="宋体"/>
                <w:bCs/>
                <w:sz w:val="18"/>
              </w:rPr>
              <w:t>产品质量监管科</w:t>
            </w:r>
          </w:p>
        </w:tc>
        <w:tc>
          <w:tcPr>
            <w:tcW w:w="634" w:type="dxa"/>
            <w:shd w:val="clear" w:color="auto" w:fill="FFFFFF" w:themeFill="background1"/>
            <w:vAlign w:val="center"/>
          </w:tcPr>
          <w:p w14:paraId="7CE8DCD0">
            <w:pPr>
              <w:spacing w:line="240" w:lineRule="auto"/>
              <w:jc w:val="left"/>
              <w:rPr>
                <w:rFonts w:ascii="宋体" w:hAnsi="宋体"/>
                <w:bCs/>
                <w:sz w:val="18"/>
              </w:rPr>
            </w:pPr>
            <w:r>
              <w:rPr>
                <w:rFonts w:hint="eastAsia" w:ascii="宋体" w:hAnsi="宋体"/>
                <w:bCs/>
                <w:sz w:val="18"/>
              </w:rPr>
              <w:t>重点关注强制性标准中的安全类检验项目</w:t>
            </w:r>
          </w:p>
        </w:tc>
      </w:tr>
      <w:tr w14:paraId="5462DE7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421" w:type="dxa"/>
            <w:shd w:val="clear" w:color="auto" w:fill="FFFFFF" w:themeFill="background1"/>
            <w:vAlign w:val="center"/>
          </w:tcPr>
          <w:p w14:paraId="2AE3EB63">
            <w:pPr>
              <w:spacing w:line="240" w:lineRule="auto"/>
              <w:jc w:val="left"/>
              <w:rPr>
                <w:rFonts w:ascii="宋体" w:hAnsi="宋体"/>
                <w:bCs/>
                <w:sz w:val="18"/>
              </w:rPr>
            </w:pPr>
            <w:r>
              <w:rPr>
                <w:rFonts w:hint="eastAsia" w:ascii="宋体" w:hAnsi="宋体"/>
                <w:bCs/>
                <w:sz w:val="18"/>
              </w:rPr>
              <w:t>3</w:t>
            </w:r>
          </w:p>
        </w:tc>
        <w:tc>
          <w:tcPr>
            <w:tcW w:w="696" w:type="dxa"/>
            <w:shd w:val="clear" w:color="auto" w:fill="FFFFFF" w:themeFill="background1"/>
            <w:vAlign w:val="center"/>
          </w:tcPr>
          <w:p w14:paraId="04CA0DAF">
            <w:pPr>
              <w:spacing w:line="240" w:lineRule="auto"/>
              <w:jc w:val="left"/>
              <w:rPr>
                <w:rFonts w:ascii="宋体" w:hAnsi="宋体"/>
                <w:bCs/>
                <w:sz w:val="18"/>
              </w:rPr>
            </w:pPr>
            <w:r>
              <w:rPr>
                <w:rFonts w:hint="eastAsia" w:ascii="宋体" w:hAnsi="宋体"/>
                <w:bCs/>
                <w:sz w:val="18"/>
              </w:rPr>
              <w:t>检验检测类</w:t>
            </w:r>
            <w:r>
              <w:rPr>
                <w:rFonts w:hint="eastAsia" w:ascii="宋体" w:hAnsi="宋体"/>
                <w:bCs/>
                <w:sz w:val="18"/>
              </w:rPr>
              <w:br w:type="textWrapping"/>
            </w:r>
            <w:r>
              <w:rPr>
                <w:rFonts w:hint="eastAsia" w:ascii="宋体" w:hAnsi="宋体"/>
                <w:bCs/>
                <w:sz w:val="18"/>
              </w:rPr>
              <w:t>（委托检测）</w:t>
            </w:r>
          </w:p>
        </w:tc>
        <w:tc>
          <w:tcPr>
            <w:tcW w:w="988" w:type="dxa"/>
            <w:shd w:val="clear" w:color="auto" w:fill="FFFFFF" w:themeFill="background1"/>
            <w:vAlign w:val="center"/>
          </w:tcPr>
          <w:p w14:paraId="567BA872">
            <w:pPr>
              <w:spacing w:line="240" w:lineRule="auto"/>
              <w:jc w:val="left"/>
              <w:rPr>
                <w:rFonts w:ascii="宋体" w:hAnsi="宋体"/>
                <w:bCs/>
                <w:sz w:val="18"/>
              </w:rPr>
            </w:pPr>
            <w:r>
              <w:rPr>
                <w:rFonts w:hint="eastAsia" w:ascii="宋体" w:hAnsi="宋体"/>
                <w:bCs/>
                <w:sz w:val="18"/>
              </w:rPr>
              <w:t>企业自身检测能力欠缺</w:t>
            </w:r>
            <w:r>
              <w:rPr>
                <w:rFonts w:hint="eastAsia" w:ascii="宋体" w:hAnsi="宋体"/>
                <w:bCs/>
                <w:sz w:val="18"/>
              </w:rPr>
              <w:br w:type="textWrapping"/>
            </w:r>
            <w:r>
              <w:rPr>
                <w:rFonts w:hint="eastAsia" w:ascii="宋体" w:hAnsi="宋体"/>
                <w:bCs/>
                <w:sz w:val="18"/>
              </w:rPr>
              <w:t>新产品/新材料缺乏检测基线</w:t>
            </w:r>
          </w:p>
        </w:tc>
        <w:tc>
          <w:tcPr>
            <w:tcW w:w="1468" w:type="dxa"/>
            <w:shd w:val="clear" w:color="auto" w:fill="FFFFFF" w:themeFill="background1"/>
            <w:vAlign w:val="center"/>
          </w:tcPr>
          <w:p w14:paraId="60FA0E41">
            <w:pPr>
              <w:spacing w:line="240" w:lineRule="auto"/>
              <w:jc w:val="left"/>
              <w:rPr>
                <w:rFonts w:ascii="宋体" w:hAnsi="宋体"/>
                <w:bCs/>
                <w:sz w:val="18"/>
              </w:rPr>
            </w:pPr>
            <w:r>
              <w:rPr>
                <w:rFonts w:hint="eastAsia" w:ascii="宋体" w:hAnsi="宋体"/>
                <w:bCs/>
                <w:sz w:val="18"/>
              </w:rPr>
              <w:t>由检测机构承接企业委托检测，重点覆盖强制性安全指标，提供检测报告及不合格改进建议</w:t>
            </w:r>
          </w:p>
        </w:tc>
        <w:tc>
          <w:tcPr>
            <w:tcW w:w="738" w:type="dxa"/>
            <w:shd w:val="clear" w:color="auto" w:fill="FFFFFF" w:themeFill="background1"/>
            <w:vAlign w:val="center"/>
          </w:tcPr>
          <w:p w14:paraId="7401C294">
            <w:pPr>
              <w:spacing w:line="240" w:lineRule="auto"/>
              <w:jc w:val="left"/>
              <w:rPr>
                <w:rFonts w:ascii="宋体" w:hAnsi="宋体"/>
                <w:bCs/>
                <w:sz w:val="18"/>
              </w:rPr>
            </w:pPr>
            <w:r>
              <w:rPr>
                <w:rFonts w:hint="eastAsia" w:ascii="宋体" w:hAnsi="宋体"/>
                <w:bCs/>
                <w:sz w:val="18"/>
              </w:rPr>
              <w:t>XX检验检测中心</w:t>
            </w:r>
            <w:r>
              <w:rPr>
                <w:rFonts w:hint="eastAsia" w:ascii="宋体" w:hAnsi="宋体"/>
                <w:bCs/>
                <w:sz w:val="18"/>
              </w:rPr>
              <w:br w:type="textWrapping"/>
            </w:r>
            <w:r>
              <w:rPr>
                <w:rFonts w:hint="eastAsia" w:ascii="宋体" w:hAnsi="宋体"/>
                <w:bCs/>
                <w:sz w:val="18"/>
              </w:rPr>
              <w:t>（检测部门）</w:t>
            </w:r>
          </w:p>
        </w:tc>
        <w:tc>
          <w:tcPr>
            <w:tcW w:w="637" w:type="dxa"/>
            <w:shd w:val="clear" w:color="auto" w:fill="FFFFFF" w:themeFill="background1"/>
            <w:vAlign w:val="center"/>
          </w:tcPr>
          <w:p w14:paraId="0292A859">
            <w:pPr>
              <w:spacing w:line="240" w:lineRule="auto"/>
              <w:jc w:val="left"/>
              <w:rPr>
                <w:rFonts w:ascii="宋体" w:hAnsi="宋体"/>
                <w:bCs/>
                <w:sz w:val="18"/>
              </w:rPr>
            </w:pPr>
            <w:r>
              <w:rPr>
                <w:rFonts w:hint="eastAsia" w:ascii="宋体" w:hAnsi="宋体"/>
                <w:bCs/>
                <w:sz w:val="18"/>
              </w:rPr>
              <w:t>12家</w:t>
            </w:r>
          </w:p>
        </w:tc>
        <w:tc>
          <w:tcPr>
            <w:tcW w:w="580" w:type="dxa"/>
            <w:shd w:val="clear" w:color="auto" w:fill="FFFFFF" w:themeFill="background1"/>
            <w:vAlign w:val="center"/>
          </w:tcPr>
          <w:p w14:paraId="4F51061E">
            <w:pPr>
              <w:spacing w:line="240" w:lineRule="auto"/>
              <w:jc w:val="left"/>
              <w:rPr>
                <w:rFonts w:ascii="宋体" w:hAnsi="宋体"/>
                <w:bCs/>
                <w:sz w:val="18"/>
              </w:rPr>
            </w:pPr>
            <w:r>
              <w:rPr>
                <w:rFonts w:hint="eastAsia" w:ascii="宋体" w:hAnsi="宋体"/>
                <w:bCs/>
                <w:sz w:val="18"/>
              </w:rPr>
              <w:t>20XX年X月—</w:t>
            </w:r>
            <w:r>
              <w:rPr>
                <w:rFonts w:hint="eastAsia" w:ascii="宋体" w:hAnsi="宋体"/>
                <w:bCs/>
                <w:sz w:val="18"/>
              </w:rPr>
              <w:br w:type="textWrapping"/>
            </w:r>
            <w:r>
              <w:rPr>
                <w:rFonts w:hint="eastAsia" w:ascii="宋体" w:hAnsi="宋体"/>
                <w:bCs/>
                <w:sz w:val="18"/>
              </w:rPr>
              <w:t>20XX年X月</w:t>
            </w:r>
          </w:p>
        </w:tc>
        <w:tc>
          <w:tcPr>
            <w:tcW w:w="1137" w:type="dxa"/>
            <w:shd w:val="clear" w:color="auto" w:fill="FFFFFF" w:themeFill="background1"/>
            <w:vAlign w:val="center"/>
          </w:tcPr>
          <w:p w14:paraId="7264980C">
            <w:pPr>
              <w:spacing w:line="240" w:lineRule="auto"/>
              <w:jc w:val="left"/>
              <w:rPr>
                <w:rFonts w:ascii="宋体" w:hAnsi="宋体"/>
                <w:bCs/>
                <w:sz w:val="18"/>
              </w:rPr>
            </w:pPr>
            <w:r>
              <w:rPr>
                <w:rFonts w:hint="eastAsia" w:ascii="宋体" w:hAnsi="宋体"/>
                <w:bCs/>
                <w:sz w:val="18"/>
              </w:rPr>
              <w:t>委托检测样品覆盖率100%（目标清单内企业）；出具检测报告及时率≥95%（10个工作日内）</w:t>
            </w:r>
          </w:p>
        </w:tc>
        <w:tc>
          <w:tcPr>
            <w:tcW w:w="914" w:type="dxa"/>
            <w:shd w:val="clear" w:color="auto" w:fill="FFFFFF" w:themeFill="background1"/>
            <w:vAlign w:val="center"/>
          </w:tcPr>
          <w:p w14:paraId="1829EB77">
            <w:pPr>
              <w:spacing w:line="240" w:lineRule="auto"/>
              <w:jc w:val="left"/>
              <w:rPr>
                <w:rFonts w:ascii="宋体" w:hAnsi="宋体"/>
                <w:bCs/>
                <w:sz w:val="18"/>
              </w:rPr>
            </w:pPr>
            <w:r>
              <w:rPr>
                <w:rFonts w:hint="eastAsia" w:ascii="宋体" w:hAnsi="宋体"/>
                <w:bCs/>
                <w:sz w:val="18"/>
              </w:rPr>
              <w:t>检测报告存档核查；抽取样品复测对比</w:t>
            </w:r>
          </w:p>
        </w:tc>
        <w:tc>
          <w:tcPr>
            <w:tcW w:w="1357" w:type="dxa"/>
            <w:shd w:val="clear" w:color="auto" w:fill="FFFFFF" w:themeFill="background1"/>
            <w:vAlign w:val="center"/>
          </w:tcPr>
          <w:p w14:paraId="1B3AE550">
            <w:pPr>
              <w:spacing w:line="240" w:lineRule="auto"/>
              <w:jc w:val="left"/>
              <w:rPr>
                <w:rFonts w:ascii="宋体" w:hAnsi="宋体"/>
                <w:bCs/>
                <w:sz w:val="18"/>
              </w:rPr>
            </w:pPr>
            <w:r>
              <w:rPr>
                <w:rFonts w:hint="eastAsia" w:ascii="宋体" w:hAnsi="宋体"/>
                <w:bCs/>
                <w:sz w:val="18"/>
              </w:rPr>
              <w:t>市市场监管局</w:t>
            </w:r>
            <w:r>
              <w:rPr>
                <w:rFonts w:hint="eastAsia" w:ascii="宋体" w:hAnsi="宋体"/>
                <w:bCs/>
                <w:sz w:val="18"/>
              </w:rPr>
              <w:br w:type="textWrapping"/>
            </w:r>
            <w:r>
              <w:rPr>
                <w:rFonts w:hint="eastAsia" w:ascii="宋体" w:hAnsi="宋体"/>
                <w:bCs/>
                <w:sz w:val="18"/>
              </w:rPr>
              <w:t>产品质量监管科</w:t>
            </w:r>
          </w:p>
        </w:tc>
        <w:tc>
          <w:tcPr>
            <w:tcW w:w="634" w:type="dxa"/>
            <w:shd w:val="clear" w:color="auto" w:fill="FFFFFF" w:themeFill="background1"/>
            <w:vAlign w:val="center"/>
          </w:tcPr>
          <w:p w14:paraId="3D7BE091">
            <w:pPr>
              <w:spacing w:line="240" w:lineRule="auto"/>
              <w:jc w:val="left"/>
              <w:rPr>
                <w:rFonts w:ascii="宋体" w:hAnsi="宋体"/>
                <w:bCs/>
                <w:sz w:val="18"/>
              </w:rPr>
            </w:pPr>
          </w:p>
        </w:tc>
      </w:tr>
      <w:tr w14:paraId="36B9E14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421" w:type="dxa"/>
            <w:shd w:val="clear" w:color="auto" w:fill="FFFFFF" w:themeFill="background1"/>
            <w:vAlign w:val="center"/>
          </w:tcPr>
          <w:p w14:paraId="6FFE23A5">
            <w:pPr>
              <w:spacing w:line="240" w:lineRule="auto"/>
              <w:jc w:val="left"/>
              <w:rPr>
                <w:rFonts w:ascii="宋体" w:hAnsi="宋体"/>
                <w:bCs/>
                <w:sz w:val="18"/>
              </w:rPr>
            </w:pPr>
            <w:r>
              <w:rPr>
                <w:rFonts w:hint="eastAsia" w:ascii="宋体" w:hAnsi="宋体"/>
                <w:bCs/>
                <w:sz w:val="18"/>
              </w:rPr>
              <w:t>4</w:t>
            </w:r>
          </w:p>
        </w:tc>
        <w:tc>
          <w:tcPr>
            <w:tcW w:w="696" w:type="dxa"/>
            <w:shd w:val="clear" w:color="auto" w:fill="FFFFFF" w:themeFill="background1"/>
            <w:vAlign w:val="center"/>
          </w:tcPr>
          <w:p w14:paraId="03AA60AA">
            <w:pPr>
              <w:spacing w:line="240" w:lineRule="auto"/>
              <w:jc w:val="left"/>
              <w:rPr>
                <w:rFonts w:ascii="宋体" w:hAnsi="宋体"/>
                <w:bCs/>
                <w:sz w:val="18"/>
              </w:rPr>
            </w:pPr>
            <w:r>
              <w:rPr>
                <w:rFonts w:hint="eastAsia" w:ascii="宋体" w:hAnsi="宋体"/>
                <w:bCs/>
                <w:sz w:val="18"/>
              </w:rPr>
              <w:t>体系建设类</w:t>
            </w:r>
            <w:r>
              <w:rPr>
                <w:rFonts w:hint="eastAsia" w:ascii="宋体" w:hAnsi="宋体"/>
                <w:bCs/>
                <w:sz w:val="18"/>
              </w:rPr>
              <w:br w:type="textWrapping"/>
            </w:r>
            <w:r>
              <w:rPr>
                <w:rFonts w:hint="eastAsia" w:ascii="宋体" w:hAnsi="宋体"/>
                <w:bCs/>
                <w:sz w:val="18"/>
              </w:rPr>
              <w:t>（管理体系）</w:t>
            </w:r>
          </w:p>
        </w:tc>
        <w:tc>
          <w:tcPr>
            <w:tcW w:w="988" w:type="dxa"/>
            <w:shd w:val="clear" w:color="auto" w:fill="FFFFFF" w:themeFill="background1"/>
            <w:vAlign w:val="center"/>
          </w:tcPr>
          <w:p w14:paraId="3A4B06A4">
            <w:pPr>
              <w:spacing w:line="240" w:lineRule="auto"/>
              <w:jc w:val="left"/>
              <w:rPr>
                <w:rFonts w:ascii="宋体" w:hAnsi="宋体"/>
                <w:bCs/>
                <w:sz w:val="18"/>
              </w:rPr>
            </w:pPr>
            <w:r>
              <w:rPr>
                <w:rFonts w:hint="eastAsia" w:ascii="宋体" w:hAnsi="宋体"/>
                <w:bCs/>
                <w:sz w:val="18"/>
              </w:rPr>
              <w:t>质量管理体系缺失</w:t>
            </w:r>
            <w:r>
              <w:rPr>
                <w:rFonts w:hint="eastAsia" w:ascii="宋体" w:hAnsi="宋体"/>
                <w:bCs/>
                <w:sz w:val="18"/>
              </w:rPr>
              <w:br w:type="textWrapping"/>
            </w:r>
            <w:r>
              <w:rPr>
                <w:rFonts w:hint="eastAsia" w:ascii="宋体" w:hAnsi="宋体"/>
                <w:bCs/>
                <w:sz w:val="18"/>
              </w:rPr>
              <w:t>体系运行流于形式</w:t>
            </w:r>
            <w:r>
              <w:rPr>
                <w:rFonts w:hint="eastAsia" w:ascii="宋体" w:hAnsi="宋体"/>
                <w:bCs/>
                <w:sz w:val="18"/>
              </w:rPr>
              <w:br w:type="textWrapping"/>
            </w:r>
            <w:r>
              <w:rPr>
                <w:rFonts w:hint="eastAsia" w:ascii="宋体" w:hAnsi="宋体"/>
                <w:bCs/>
                <w:sz w:val="18"/>
              </w:rPr>
              <w:t>过程控制薄弱</w:t>
            </w:r>
          </w:p>
        </w:tc>
        <w:tc>
          <w:tcPr>
            <w:tcW w:w="1468" w:type="dxa"/>
            <w:shd w:val="clear" w:color="auto" w:fill="FFFFFF" w:themeFill="background1"/>
            <w:vAlign w:val="center"/>
          </w:tcPr>
          <w:p w14:paraId="6B4A93D9">
            <w:pPr>
              <w:spacing w:line="240" w:lineRule="auto"/>
              <w:jc w:val="left"/>
              <w:rPr>
                <w:rFonts w:ascii="宋体" w:hAnsi="宋体"/>
                <w:bCs/>
                <w:sz w:val="18"/>
              </w:rPr>
            </w:pPr>
            <w:r>
              <w:rPr>
                <w:rFonts w:hint="eastAsia" w:ascii="宋体" w:hAnsi="宋体"/>
                <w:bCs/>
                <w:sz w:val="18"/>
              </w:rPr>
              <w:t>协助企业导入ISO 9001质量管理体系，完成现状诊断→体系策划→文件编制→试运行→内审一体化辅导</w:t>
            </w:r>
          </w:p>
        </w:tc>
        <w:tc>
          <w:tcPr>
            <w:tcW w:w="738" w:type="dxa"/>
            <w:shd w:val="clear" w:color="auto" w:fill="FFFFFF" w:themeFill="background1"/>
            <w:vAlign w:val="center"/>
          </w:tcPr>
          <w:p w14:paraId="2716D69B">
            <w:pPr>
              <w:spacing w:line="240" w:lineRule="auto"/>
              <w:jc w:val="left"/>
              <w:rPr>
                <w:rFonts w:ascii="宋体" w:hAnsi="宋体"/>
                <w:bCs/>
                <w:sz w:val="18"/>
              </w:rPr>
            </w:pPr>
            <w:r>
              <w:rPr>
                <w:rFonts w:hint="eastAsia" w:ascii="宋体" w:hAnsi="宋体"/>
                <w:bCs/>
                <w:sz w:val="18"/>
              </w:rPr>
              <w:t>XX认证咨询机构</w:t>
            </w:r>
            <w:r>
              <w:rPr>
                <w:rFonts w:hint="eastAsia" w:ascii="宋体" w:hAnsi="宋体"/>
                <w:bCs/>
                <w:sz w:val="18"/>
              </w:rPr>
              <w:br w:type="textWrapping"/>
            </w:r>
            <w:r>
              <w:rPr>
                <w:rFonts w:hint="eastAsia" w:ascii="宋体" w:hAnsi="宋体"/>
                <w:bCs/>
                <w:sz w:val="18"/>
              </w:rPr>
              <w:t>（王专家）</w:t>
            </w:r>
          </w:p>
        </w:tc>
        <w:tc>
          <w:tcPr>
            <w:tcW w:w="637" w:type="dxa"/>
            <w:shd w:val="clear" w:color="auto" w:fill="FFFFFF" w:themeFill="background1"/>
            <w:vAlign w:val="center"/>
          </w:tcPr>
          <w:p w14:paraId="3233CC01">
            <w:pPr>
              <w:spacing w:line="240" w:lineRule="auto"/>
              <w:jc w:val="left"/>
              <w:rPr>
                <w:rFonts w:ascii="宋体" w:hAnsi="宋体"/>
                <w:bCs/>
                <w:sz w:val="18"/>
              </w:rPr>
            </w:pPr>
            <w:r>
              <w:rPr>
                <w:rFonts w:hint="eastAsia" w:ascii="宋体" w:hAnsi="宋体"/>
                <w:bCs/>
                <w:sz w:val="18"/>
              </w:rPr>
              <w:t>6家</w:t>
            </w:r>
          </w:p>
        </w:tc>
        <w:tc>
          <w:tcPr>
            <w:tcW w:w="580" w:type="dxa"/>
            <w:shd w:val="clear" w:color="auto" w:fill="FFFFFF" w:themeFill="background1"/>
            <w:vAlign w:val="center"/>
          </w:tcPr>
          <w:p w14:paraId="08261816">
            <w:pPr>
              <w:spacing w:line="240" w:lineRule="auto"/>
              <w:jc w:val="left"/>
              <w:rPr>
                <w:rFonts w:ascii="宋体" w:hAnsi="宋体"/>
                <w:bCs/>
                <w:sz w:val="18"/>
              </w:rPr>
            </w:pPr>
            <w:r>
              <w:rPr>
                <w:rFonts w:hint="eastAsia" w:ascii="宋体" w:hAnsi="宋体"/>
                <w:bCs/>
                <w:sz w:val="18"/>
              </w:rPr>
              <w:t>20XX年X月—</w:t>
            </w:r>
            <w:r>
              <w:rPr>
                <w:rFonts w:hint="eastAsia" w:ascii="宋体" w:hAnsi="宋体"/>
                <w:bCs/>
                <w:sz w:val="18"/>
              </w:rPr>
              <w:br w:type="textWrapping"/>
            </w:r>
            <w:r>
              <w:rPr>
                <w:rFonts w:hint="eastAsia" w:ascii="宋体" w:hAnsi="宋体"/>
                <w:bCs/>
                <w:sz w:val="18"/>
              </w:rPr>
              <w:t>20XX年X月</w:t>
            </w:r>
          </w:p>
        </w:tc>
        <w:tc>
          <w:tcPr>
            <w:tcW w:w="1137" w:type="dxa"/>
            <w:shd w:val="clear" w:color="auto" w:fill="FFFFFF" w:themeFill="background1"/>
            <w:vAlign w:val="center"/>
          </w:tcPr>
          <w:p w14:paraId="3876AFAD">
            <w:pPr>
              <w:spacing w:line="240" w:lineRule="auto"/>
              <w:jc w:val="left"/>
              <w:rPr>
                <w:rFonts w:ascii="宋体" w:hAnsi="宋体"/>
                <w:bCs/>
                <w:sz w:val="18"/>
              </w:rPr>
            </w:pPr>
            <w:r>
              <w:rPr>
                <w:rFonts w:hint="eastAsia" w:ascii="宋体" w:hAnsi="宋体"/>
                <w:bCs/>
                <w:sz w:val="18"/>
              </w:rPr>
              <w:t>体系文件建立完整度≥80%；关键岗位SOP覆盖率100%；内审不符合项整改闭环率100%</w:t>
            </w:r>
          </w:p>
        </w:tc>
        <w:tc>
          <w:tcPr>
            <w:tcW w:w="914" w:type="dxa"/>
            <w:shd w:val="clear" w:color="auto" w:fill="FFFFFF" w:themeFill="background1"/>
            <w:vAlign w:val="center"/>
          </w:tcPr>
          <w:p w14:paraId="3C3E55B7">
            <w:pPr>
              <w:spacing w:line="240" w:lineRule="auto"/>
              <w:jc w:val="left"/>
              <w:rPr>
                <w:rFonts w:ascii="宋体" w:hAnsi="宋体"/>
                <w:bCs/>
                <w:sz w:val="18"/>
              </w:rPr>
            </w:pPr>
            <w:r>
              <w:rPr>
                <w:rFonts w:hint="eastAsia" w:ascii="宋体" w:hAnsi="宋体"/>
                <w:bCs/>
                <w:sz w:val="18"/>
              </w:rPr>
              <w:t>体系文件审查；内审报告核查；访谈关键岗位人员</w:t>
            </w:r>
          </w:p>
        </w:tc>
        <w:tc>
          <w:tcPr>
            <w:tcW w:w="1357" w:type="dxa"/>
            <w:shd w:val="clear" w:color="auto" w:fill="FFFFFF" w:themeFill="background1"/>
            <w:vAlign w:val="center"/>
          </w:tcPr>
          <w:p w14:paraId="3E6B2D77">
            <w:pPr>
              <w:spacing w:line="240" w:lineRule="auto"/>
              <w:jc w:val="left"/>
              <w:rPr>
                <w:rFonts w:ascii="宋体" w:hAnsi="宋体"/>
                <w:bCs/>
                <w:sz w:val="18"/>
              </w:rPr>
            </w:pPr>
            <w:r>
              <w:rPr>
                <w:rFonts w:hint="eastAsia" w:ascii="宋体" w:hAnsi="宋体"/>
                <w:bCs/>
                <w:sz w:val="18"/>
              </w:rPr>
              <w:t>市市场监管局</w:t>
            </w:r>
            <w:r>
              <w:rPr>
                <w:rFonts w:hint="eastAsia" w:ascii="宋体" w:hAnsi="宋体"/>
                <w:bCs/>
                <w:sz w:val="18"/>
              </w:rPr>
              <w:br w:type="textWrapping"/>
            </w:r>
            <w:r>
              <w:rPr>
                <w:rFonts w:hint="eastAsia" w:ascii="宋体" w:hAnsi="宋体"/>
                <w:bCs/>
                <w:sz w:val="18"/>
              </w:rPr>
              <w:t>质量发展科</w:t>
            </w:r>
          </w:p>
        </w:tc>
        <w:tc>
          <w:tcPr>
            <w:tcW w:w="634" w:type="dxa"/>
            <w:shd w:val="clear" w:color="auto" w:fill="FFFFFF" w:themeFill="background1"/>
            <w:vAlign w:val="center"/>
          </w:tcPr>
          <w:p w14:paraId="30BBFBDC">
            <w:pPr>
              <w:spacing w:line="240" w:lineRule="auto"/>
              <w:jc w:val="left"/>
              <w:rPr>
                <w:rFonts w:ascii="宋体" w:hAnsi="宋体"/>
                <w:bCs/>
                <w:sz w:val="18"/>
              </w:rPr>
            </w:pPr>
          </w:p>
        </w:tc>
      </w:tr>
    </w:tbl>
    <w:p w14:paraId="1404C0D5"/>
    <w:p w14:paraId="156662E7"/>
    <w:p w14:paraId="13ED0240"/>
    <w:p w14:paraId="1122BF68"/>
    <w:p w14:paraId="067C0BEC">
      <w:pPr>
        <w:spacing w:after="80"/>
        <w:jc w:val="center"/>
        <w:rPr>
          <w:rFonts w:ascii="宋体" w:hAnsi="宋体"/>
          <w:bCs/>
        </w:rPr>
      </w:pPr>
      <w:r>
        <w:rPr>
          <w:rFonts w:ascii="黑体" w:hAnsi="黑体" w:eastAsia="黑体"/>
          <w:bCs/>
        </w:rPr>
        <w:t>表</w:t>
      </w:r>
      <w:r>
        <w:rPr>
          <w:rFonts w:hint="eastAsia" w:ascii="黑体" w:hAnsi="黑体" w:eastAsia="黑体"/>
          <w:bCs/>
        </w:rPr>
        <w:t>D</w:t>
      </w:r>
      <w:r>
        <w:rPr>
          <w:rFonts w:ascii="黑体" w:hAnsi="黑体" w:eastAsia="黑体"/>
          <w:bCs/>
        </w:rPr>
        <w:t>.1  帮扶清单</w:t>
      </w:r>
      <w:r>
        <w:rPr>
          <w:rFonts w:hint="eastAsia" w:ascii="宋体" w:hAnsi="宋体"/>
          <w:bCs/>
        </w:rPr>
        <w:t>(续</w:t>
      </w:r>
      <w:r>
        <w:rPr>
          <w:rFonts w:ascii="宋体" w:hAnsi="宋体"/>
          <w:bCs/>
        </w:rPr>
        <w:t>)</w:t>
      </w:r>
    </w:p>
    <w:tbl>
      <w:tblPr>
        <w:tblStyle w:val="29"/>
        <w:tblW w:w="9570"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421"/>
        <w:gridCol w:w="696"/>
        <w:gridCol w:w="988"/>
        <w:gridCol w:w="1468"/>
        <w:gridCol w:w="738"/>
        <w:gridCol w:w="637"/>
        <w:gridCol w:w="580"/>
        <w:gridCol w:w="1137"/>
        <w:gridCol w:w="914"/>
        <w:gridCol w:w="1357"/>
        <w:gridCol w:w="634"/>
      </w:tblGrid>
      <w:tr w14:paraId="6630AD3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2105" w:type="dxa"/>
            <w:gridSpan w:val="3"/>
            <w:tcBorders>
              <w:top w:val="single" w:color="000000" w:sz="8" w:space="0"/>
              <w:bottom w:val="single" w:color="000000" w:sz="8" w:space="0"/>
            </w:tcBorders>
            <w:shd w:val="clear" w:color="auto" w:fill="FFFFFF" w:themeFill="background1"/>
            <w:vAlign w:val="center"/>
          </w:tcPr>
          <w:p w14:paraId="5FE218D3">
            <w:pPr>
              <w:spacing w:line="240" w:lineRule="auto"/>
              <w:jc w:val="left"/>
              <w:rPr>
                <w:bCs/>
                <w:sz w:val="18"/>
                <w:szCs w:val="18"/>
              </w:rPr>
            </w:pPr>
            <w:r>
              <w:rPr>
                <w:rFonts w:hint="eastAsia" w:ascii="宋体" w:hAnsi="宋体"/>
                <w:bCs/>
                <w:sz w:val="18"/>
                <w:szCs w:val="18"/>
              </w:rPr>
              <w:t>帮扶周期</w:t>
            </w:r>
            <w:r>
              <w:rPr>
                <w:rFonts w:ascii="宋体" w:hAnsi="宋体"/>
                <w:bCs/>
                <w:sz w:val="18"/>
                <w:szCs w:val="18"/>
              </w:rPr>
              <w:t>/年度：</w:t>
            </w:r>
          </w:p>
        </w:tc>
        <w:tc>
          <w:tcPr>
            <w:tcW w:w="2843" w:type="dxa"/>
            <w:gridSpan w:val="3"/>
            <w:tcBorders>
              <w:top w:val="single" w:color="000000" w:sz="8" w:space="0"/>
              <w:bottom w:val="single" w:color="000000" w:sz="8" w:space="0"/>
            </w:tcBorders>
            <w:shd w:val="clear" w:color="auto" w:fill="FFFFFF" w:themeFill="background1"/>
            <w:vAlign w:val="center"/>
          </w:tcPr>
          <w:p w14:paraId="7FDF4A6A">
            <w:pPr>
              <w:spacing w:line="240" w:lineRule="auto"/>
              <w:jc w:val="left"/>
              <w:rPr>
                <w:bCs/>
                <w:sz w:val="18"/>
                <w:szCs w:val="18"/>
              </w:rPr>
            </w:pPr>
            <w:r>
              <w:rPr>
                <w:rFonts w:hint="eastAsia" w:ascii="宋体" w:hAnsi="宋体"/>
                <w:bCs/>
                <w:sz w:val="18"/>
                <w:szCs w:val="18"/>
              </w:rPr>
              <w:t>主管监管部门：</w:t>
            </w:r>
          </w:p>
        </w:tc>
        <w:tc>
          <w:tcPr>
            <w:tcW w:w="1717" w:type="dxa"/>
            <w:gridSpan w:val="2"/>
            <w:tcBorders>
              <w:top w:val="single" w:color="000000" w:sz="8" w:space="0"/>
              <w:bottom w:val="single" w:color="000000" w:sz="8" w:space="0"/>
            </w:tcBorders>
            <w:shd w:val="clear" w:color="auto" w:fill="FFFFFF" w:themeFill="background1"/>
            <w:vAlign w:val="center"/>
          </w:tcPr>
          <w:p w14:paraId="3436B6B3">
            <w:pPr>
              <w:spacing w:line="240" w:lineRule="auto"/>
              <w:jc w:val="left"/>
              <w:rPr>
                <w:bCs/>
                <w:sz w:val="18"/>
                <w:szCs w:val="18"/>
              </w:rPr>
            </w:pPr>
            <w:r>
              <w:rPr>
                <w:rFonts w:hint="eastAsia" w:ascii="宋体" w:hAnsi="宋体"/>
                <w:bCs/>
                <w:sz w:val="18"/>
                <w:szCs w:val="18"/>
              </w:rPr>
              <w:t>编制机构：</w:t>
            </w:r>
          </w:p>
        </w:tc>
        <w:tc>
          <w:tcPr>
            <w:tcW w:w="2271" w:type="dxa"/>
            <w:gridSpan w:val="2"/>
            <w:tcBorders>
              <w:top w:val="single" w:color="000000" w:sz="8" w:space="0"/>
              <w:bottom w:val="single" w:color="000000" w:sz="8" w:space="0"/>
            </w:tcBorders>
            <w:shd w:val="clear" w:color="auto" w:fill="FFFFFF" w:themeFill="background1"/>
            <w:vAlign w:val="center"/>
          </w:tcPr>
          <w:p w14:paraId="320BC3F9">
            <w:pPr>
              <w:spacing w:line="240" w:lineRule="auto"/>
              <w:jc w:val="left"/>
              <w:rPr>
                <w:bCs/>
                <w:sz w:val="18"/>
                <w:szCs w:val="18"/>
              </w:rPr>
            </w:pPr>
            <w:r>
              <w:rPr>
                <w:rFonts w:hint="eastAsia" w:ascii="宋体" w:hAnsi="宋体"/>
                <w:bCs/>
                <w:sz w:val="18"/>
                <w:szCs w:val="18"/>
              </w:rPr>
              <w:t>编制日期：</w:t>
            </w:r>
          </w:p>
        </w:tc>
        <w:tc>
          <w:tcPr>
            <w:tcW w:w="634" w:type="dxa"/>
            <w:tcBorders>
              <w:top w:val="single" w:color="000000" w:sz="8" w:space="0"/>
              <w:bottom w:val="single" w:color="000000" w:sz="8" w:space="0"/>
            </w:tcBorders>
            <w:shd w:val="clear" w:color="auto" w:fill="FFFFFF" w:themeFill="background1"/>
            <w:vAlign w:val="center"/>
          </w:tcPr>
          <w:p w14:paraId="086A0439">
            <w:pPr>
              <w:spacing w:line="240" w:lineRule="auto"/>
              <w:jc w:val="left"/>
              <w:rPr>
                <w:bCs/>
                <w:sz w:val="18"/>
                <w:szCs w:val="18"/>
              </w:rPr>
            </w:pPr>
            <w:r>
              <w:rPr>
                <w:rFonts w:hint="eastAsia" w:ascii="宋体" w:hAnsi="宋体"/>
                <w:bCs/>
                <w:sz w:val="18"/>
                <w:szCs w:val="18"/>
              </w:rPr>
              <w:t>清单编号：</w:t>
            </w:r>
          </w:p>
        </w:tc>
      </w:tr>
      <w:tr w14:paraId="6638F4B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421" w:type="dxa"/>
            <w:tcBorders>
              <w:top w:val="single" w:color="000000" w:sz="8" w:space="0"/>
            </w:tcBorders>
            <w:shd w:val="clear" w:color="auto" w:fill="FFFFFF" w:themeFill="background1"/>
            <w:vAlign w:val="center"/>
          </w:tcPr>
          <w:p w14:paraId="7472CF47">
            <w:pPr>
              <w:spacing w:line="240" w:lineRule="auto"/>
              <w:jc w:val="left"/>
              <w:rPr>
                <w:rFonts w:ascii="宋体" w:hAnsi="宋体"/>
                <w:bCs/>
                <w:sz w:val="18"/>
              </w:rPr>
            </w:pPr>
            <w:r>
              <w:rPr>
                <w:rFonts w:hint="eastAsia" w:ascii="宋体" w:hAnsi="宋体"/>
                <w:bCs/>
                <w:sz w:val="18"/>
              </w:rPr>
              <w:t>5</w:t>
            </w:r>
          </w:p>
        </w:tc>
        <w:tc>
          <w:tcPr>
            <w:tcW w:w="696" w:type="dxa"/>
            <w:tcBorders>
              <w:top w:val="single" w:color="000000" w:sz="8" w:space="0"/>
            </w:tcBorders>
            <w:shd w:val="clear" w:color="auto" w:fill="FFFFFF" w:themeFill="background1"/>
            <w:vAlign w:val="center"/>
          </w:tcPr>
          <w:p w14:paraId="7386D9FD">
            <w:pPr>
              <w:spacing w:line="240" w:lineRule="auto"/>
              <w:jc w:val="left"/>
              <w:rPr>
                <w:rFonts w:ascii="宋体" w:hAnsi="宋体"/>
                <w:bCs/>
                <w:sz w:val="18"/>
              </w:rPr>
            </w:pPr>
            <w:r>
              <w:rPr>
                <w:rFonts w:hint="eastAsia" w:ascii="宋体" w:hAnsi="宋体"/>
                <w:bCs/>
                <w:sz w:val="18"/>
              </w:rPr>
              <w:t>体系建设类</w:t>
            </w:r>
            <w:r>
              <w:rPr>
                <w:rFonts w:hint="eastAsia" w:ascii="宋体" w:hAnsi="宋体"/>
                <w:bCs/>
                <w:sz w:val="18"/>
              </w:rPr>
              <w:br w:type="textWrapping"/>
            </w:r>
            <w:r>
              <w:rPr>
                <w:rFonts w:hint="eastAsia" w:ascii="宋体" w:hAnsi="宋体"/>
                <w:bCs/>
                <w:sz w:val="18"/>
              </w:rPr>
              <w:t>（可靠性管理）</w:t>
            </w:r>
          </w:p>
        </w:tc>
        <w:tc>
          <w:tcPr>
            <w:tcW w:w="988" w:type="dxa"/>
            <w:tcBorders>
              <w:top w:val="single" w:color="000000" w:sz="8" w:space="0"/>
            </w:tcBorders>
            <w:shd w:val="clear" w:color="auto" w:fill="FFFFFF" w:themeFill="background1"/>
            <w:vAlign w:val="center"/>
          </w:tcPr>
          <w:p w14:paraId="1765C137">
            <w:pPr>
              <w:spacing w:line="240" w:lineRule="auto"/>
              <w:jc w:val="left"/>
              <w:rPr>
                <w:rFonts w:ascii="宋体" w:hAnsi="宋体"/>
                <w:bCs/>
                <w:sz w:val="18"/>
              </w:rPr>
            </w:pPr>
            <w:r>
              <w:rPr>
                <w:rFonts w:hint="eastAsia" w:ascii="宋体" w:hAnsi="宋体"/>
                <w:bCs/>
                <w:sz w:val="18"/>
              </w:rPr>
              <w:t>产品可靠性不足</w:t>
            </w:r>
            <w:r>
              <w:rPr>
                <w:rFonts w:hint="eastAsia" w:ascii="宋体" w:hAnsi="宋体"/>
                <w:bCs/>
                <w:sz w:val="18"/>
              </w:rPr>
              <w:br w:type="textWrapping"/>
            </w:r>
            <w:r>
              <w:rPr>
                <w:rFonts w:hint="eastAsia" w:ascii="宋体" w:hAnsi="宋体"/>
                <w:bCs/>
                <w:sz w:val="18"/>
              </w:rPr>
              <w:t>失效模式未识别</w:t>
            </w:r>
            <w:r>
              <w:rPr>
                <w:rFonts w:hint="eastAsia" w:ascii="宋体" w:hAnsi="宋体"/>
                <w:bCs/>
                <w:sz w:val="18"/>
              </w:rPr>
              <w:br w:type="textWrapping"/>
            </w:r>
            <w:r>
              <w:rPr>
                <w:rFonts w:hint="eastAsia" w:ascii="宋体" w:hAnsi="宋体"/>
                <w:bCs/>
                <w:sz w:val="18"/>
              </w:rPr>
              <w:t>维修/售后体系缺失</w:t>
            </w:r>
          </w:p>
        </w:tc>
        <w:tc>
          <w:tcPr>
            <w:tcW w:w="1468" w:type="dxa"/>
            <w:tcBorders>
              <w:top w:val="single" w:color="000000" w:sz="8" w:space="0"/>
            </w:tcBorders>
            <w:shd w:val="clear" w:color="auto" w:fill="FFFFFF" w:themeFill="background1"/>
            <w:vAlign w:val="center"/>
          </w:tcPr>
          <w:p w14:paraId="35B209A9">
            <w:pPr>
              <w:spacing w:line="240" w:lineRule="auto"/>
              <w:jc w:val="left"/>
              <w:rPr>
                <w:rFonts w:ascii="宋体" w:hAnsi="宋体"/>
                <w:bCs/>
                <w:sz w:val="18"/>
              </w:rPr>
            </w:pPr>
            <w:r>
              <w:rPr>
                <w:rFonts w:hint="eastAsia" w:ascii="宋体" w:hAnsi="宋体"/>
                <w:bCs/>
                <w:sz w:val="18"/>
              </w:rPr>
              <w:t>开展可靠性设计审查，指导企业建立FMEA分析机制、可靠性测试规程及寿命数据记录体系，培训可靠性工程师</w:t>
            </w:r>
          </w:p>
        </w:tc>
        <w:tc>
          <w:tcPr>
            <w:tcW w:w="738" w:type="dxa"/>
            <w:tcBorders>
              <w:top w:val="single" w:color="000000" w:sz="8" w:space="0"/>
            </w:tcBorders>
            <w:shd w:val="clear" w:color="auto" w:fill="FFFFFF" w:themeFill="background1"/>
            <w:vAlign w:val="center"/>
          </w:tcPr>
          <w:p w14:paraId="0A297875">
            <w:pPr>
              <w:spacing w:line="240" w:lineRule="auto"/>
              <w:jc w:val="left"/>
              <w:rPr>
                <w:rFonts w:ascii="宋体" w:hAnsi="宋体"/>
                <w:bCs/>
                <w:sz w:val="18"/>
              </w:rPr>
            </w:pPr>
            <w:r>
              <w:rPr>
                <w:rFonts w:hint="eastAsia" w:ascii="宋体" w:hAnsi="宋体"/>
                <w:bCs/>
                <w:sz w:val="18"/>
              </w:rPr>
              <w:t>XX质量可靠性</w:t>
            </w:r>
            <w:r>
              <w:rPr>
                <w:rFonts w:hint="eastAsia" w:ascii="宋体" w:hAnsi="宋体"/>
                <w:bCs/>
                <w:sz w:val="18"/>
              </w:rPr>
              <w:br w:type="textWrapping"/>
            </w:r>
            <w:r>
              <w:rPr>
                <w:rFonts w:hint="eastAsia" w:ascii="宋体" w:hAnsi="宋体"/>
                <w:bCs/>
                <w:sz w:val="18"/>
              </w:rPr>
              <w:t>研究机构</w:t>
            </w:r>
            <w:r>
              <w:rPr>
                <w:rFonts w:hint="eastAsia" w:ascii="宋体" w:hAnsi="宋体"/>
                <w:bCs/>
                <w:sz w:val="18"/>
              </w:rPr>
              <w:br w:type="textWrapping"/>
            </w:r>
            <w:r>
              <w:rPr>
                <w:rFonts w:hint="eastAsia" w:ascii="宋体" w:hAnsi="宋体"/>
                <w:bCs/>
                <w:sz w:val="18"/>
              </w:rPr>
              <w:t>（可靠性专家组）</w:t>
            </w:r>
          </w:p>
        </w:tc>
        <w:tc>
          <w:tcPr>
            <w:tcW w:w="637" w:type="dxa"/>
            <w:tcBorders>
              <w:top w:val="single" w:color="000000" w:sz="8" w:space="0"/>
            </w:tcBorders>
            <w:shd w:val="clear" w:color="auto" w:fill="FFFFFF" w:themeFill="background1"/>
            <w:vAlign w:val="center"/>
          </w:tcPr>
          <w:p w14:paraId="73FECEBB">
            <w:pPr>
              <w:spacing w:line="240" w:lineRule="auto"/>
              <w:jc w:val="left"/>
              <w:rPr>
                <w:rFonts w:ascii="宋体" w:hAnsi="宋体"/>
                <w:bCs/>
                <w:sz w:val="18"/>
              </w:rPr>
            </w:pPr>
            <w:r>
              <w:rPr>
                <w:rFonts w:hint="eastAsia" w:ascii="宋体" w:hAnsi="宋体"/>
                <w:bCs/>
                <w:sz w:val="18"/>
              </w:rPr>
              <w:t>4家</w:t>
            </w:r>
          </w:p>
        </w:tc>
        <w:tc>
          <w:tcPr>
            <w:tcW w:w="580" w:type="dxa"/>
            <w:tcBorders>
              <w:top w:val="single" w:color="000000" w:sz="8" w:space="0"/>
            </w:tcBorders>
            <w:shd w:val="clear" w:color="auto" w:fill="FFFFFF" w:themeFill="background1"/>
            <w:vAlign w:val="center"/>
          </w:tcPr>
          <w:p w14:paraId="114DDEE9">
            <w:pPr>
              <w:spacing w:line="240" w:lineRule="auto"/>
              <w:jc w:val="left"/>
              <w:rPr>
                <w:rFonts w:ascii="宋体" w:hAnsi="宋体"/>
                <w:bCs/>
                <w:sz w:val="18"/>
              </w:rPr>
            </w:pPr>
            <w:r>
              <w:rPr>
                <w:rFonts w:hint="eastAsia" w:ascii="宋体" w:hAnsi="宋体"/>
                <w:bCs/>
                <w:sz w:val="18"/>
              </w:rPr>
              <w:t>20XX年X月—</w:t>
            </w:r>
            <w:r>
              <w:rPr>
                <w:rFonts w:hint="eastAsia" w:ascii="宋体" w:hAnsi="宋体"/>
                <w:bCs/>
                <w:sz w:val="18"/>
              </w:rPr>
              <w:br w:type="textWrapping"/>
            </w:r>
            <w:r>
              <w:rPr>
                <w:rFonts w:hint="eastAsia" w:ascii="宋体" w:hAnsi="宋体"/>
                <w:bCs/>
                <w:sz w:val="18"/>
              </w:rPr>
              <w:t>20XX年X月</w:t>
            </w:r>
          </w:p>
        </w:tc>
        <w:tc>
          <w:tcPr>
            <w:tcW w:w="1137" w:type="dxa"/>
            <w:tcBorders>
              <w:top w:val="single" w:color="000000" w:sz="8" w:space="0"/>
            </w:tcBorders>
            <w:shd w:val="clear" w:color="auto" w:fill="FFFFFF" w:themeFill="background1"/>
            <w:vAlign w:val="center"/>
          </w:tcPr>
          <w:p w14:paraId="736D5799">
            <w:pPr>
              <w:spacing w:line="240" w:lineRule="auto"/>
              <w:jc w:val="left"/>
              <w:rPr>
                <w:rFonts w:ascii="宋体" w:hAnsi="宋体"/>
                <w:bCs/>
                <w:sz w:val="18"/>
              </w:rPr>
            </w:pPr>
            <w:r>
              <w:rPr>
                <w:rFonts w:hint="eastAsia" w:ascii="宋体" w:hAnsi="宋体"/>
                <w:bCs/>
                <w:sz w:val="18"/>
              </w:rPr>
              <w:t>FMEA覆盖关键部件≥80%；产品MTBF提升幅度≥20%（与帮扶前基准值比对）；可靠性测试规程建立100%</w:t>
            </w:r>
          </w:p>
        </w:tc>
        <w:tc>
          <w:tcPr>
            <w:tcW w:w="914" w:type="dxa"/>
            <w:tcBorders>
              <w:top w:val="single" w:color="000000" w:sz="8" w:space="0"/>
            </w:tcBorders>
            <w:shd w:val="clear" w:color="auto" w:fill="FFFFFF" w:themeFill="background1"/>
            <w:vAlign w:val="center"/>
          </w:tcPr>
          <w:p w14:paraId="44C6894F">
            <w:pPr>
              <w:spacing w:line="240" w:lineRule="auto"/>
              <w:jc w:val="left"/>
              <w:rPr>
                <w:rFonts w:ascii="宋体" w:hAnsi="宋体"/>
                <w:bCs/>
                <w:sz w:val="18"/>
              </w:rPr>
            </w:pPr>
            <w:r>
              <w:rPr>
                <w:rFonts w:hint="eastAsia" w:ascii="宋体" w:hAnsi="宋体"/>
                <w:bCs/>
                <w:sz w:val="18"/>
              </w:rPr>
              <w:t>可靠性台架试验数据核查；FMEA文件审查；寿命数据统计分析</w:t>
            </w:r>
          </w:p>
        </w:tc>
        <w:tc>
          <w:tcPr>
            <w:tcW w:w="1357" w:type="dxa"/>
            <w:tcBorders>
              <w:top w:val="single" w:color="000000" w:sz="8" w:space="0"/>
            </w:tcBorders>
            <w:shd w:val="clear" w:color="auto" w:fill="FFFFFF" w:themeFill="background1"/>
            <w:vAlign w:val="center"/>
          </w:tcPr>
          <w:p w14:paraId="0F8E77F0">
            <w:pPr>
              <w:spacing w:line="240" w:lineRule="auto"/>
              <w:jc w:val="left"/>
              <w:rPr>
                <w:rFonts w:ascii="宋体" w:hAnsi="宋体"/>
                <w:bCs/>
                <w:sz w:val="18"/>
              </w:rPr>
            </w:pPr>
            <w:r>
              <w:rPr>
                <w:rFonts w:hint="eastAsia" w:ascii="宋体" w:hAnsi="宋体"/>
                <w:bCs/>
                <w:sz w:val="18"/>
              </w:rPr>
              <w:t>市市场监管局</w:t>
            </w:r>
            <w:r>
              <w:rPr>
                <w:rFonts w:hint="eastAsia" w:ascii="宋体" w:hAnsi="宋体"/>
                <w:bCs/>
                <w:sz w:val="18"/>
              </w:rPr>
              <w:br w:type="textWrapping"/>
            </w:r>
            <w:r>
              <w:rPr>
                <w:rFonts w:hint="eastAsia" w:ascii="宋体" w:hAnsi="宋体"/>
                <w:bCs/>
                <w:sz w:val="18"/>
              </w:rPr>
              <w:t>质量发展科</w:t>
            </w:r>
          </w:p>
        </w:tc>
        <w:tc>
          <w:tcPr>
            <w:tcW w:w="634" w:type="dxa"/>
            <w:tcBorders>
              <w:top w:val="single" w:color="000000" w:sz="8" w:space="0"/>
            </w:tcBorders>
            <w:shd w:val="clear" w:color="auto" w:fill="FFFFFF" w:themeFill="background1"/>
            <w:vAlign w:val="center"/>
          </w:tcPr>
          <w:p w14:paraId="679BFCAA">
            <w:pPr>
              <w:spacing w:line="240" w:lineRule="auto"/>
              <w:jc w:val="left"/>
              <w:rPr>
                <w:rFonts w:ascii="宋体" w:hAnsi="宋体"/>
                <w:bCs/>
                <w:sz w:val="18"/>
              </w:rPr>
            </w:pPr>
          </w:p>
        </w:tc>
      </w:tr>
      <w:tr w14:paraId="096B651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421" w:type="dxa"/>
            <w:shd w:val="clear" w:color="auto" w:fill="FFFFFF" w:themeFill="background1"/>
            <w:vAlign w:val="center"/>
          </w:tcPr>
          <w:p w14:paraId="32115DC9">
            <w:pPr>
              <w:spacing w:line="240" w:lineRule="auto"/>
              <w:jc w:val="left"/>
              <w:rPr>
                <w:rFonts w:ascii="宋体" w:hAnsi="宋体"/>
                <w:bCs/>
                <w:sz w:val="18"/>
              </w:rPr>
            </w:pPr>
            <w:r>
              <w:rPr>
                <w:rFonts w:hint="eastAsia" w:ascii="宋体" w:hAnsi="宋体"/>
                <w:bCs/>
                <w:sz w:val="18"/>
              </w:rPr>
              <w:t>6</w:t>
            </w:r>
          </w:p>
        </w:tc>
        <w:tc>
          <w:tcPr>
            <w:tcW w:w="696" w:type="dxa"/>
            <w:shd w:val="clear" w:color="auto" w:fill="FFFFFF" w:themeFill="background1"/>
            <w:vAlign w:val="center"/>
          </w:tcPr>
          <w:p w14:paraId="5F47B62B">
            <w:pPr>
              <w:spacing w:line="240" w:lineRule="auto"/>
              <w:jc w:val="left"/>
              <w:rPr>
                <w:rFonts w:ascii="宋体" w:hAnsi="宋体"/>
                <w:bCs/>
                <w:sz w:val="18"/>
              </w:rPr>
            </w:pPr>
            <w:r>
              <w:rPr>
                <w:rFonts w:hint="eastAsia" w:ascii="宋体" w:hAnsi="宋体"/>
                <w:bCs/>
                <w:sz w:val="18"/>
              </w:rPr>
              <w:t>标准宣贯类（强制性标准）</w:t>
            </w:r>
          </w:p>
        </w:tc>
        <w:tc>
          <w:tcPr>
            <w:tcW w:w="988" w:type="dxa"/>
            <w:shd w:val="clear" w:color="auto" w:fill="FFFFFF" w:themeFill="background1"/>
            <w:vAlign w:val="center"/>
          </w:tcPr>
          <w:p w14:paraId="5D247AC4">
            <w:pPr>
              <w:spacing w:line="240" w:lineRule="auto"/>
              <w:jc w:val="left"/>
              <w:rPr>
                <w:rFonts w:ascii="宋体" w:hAnsi="宋体"/>
                <w:bCs/>
                <w:sz w:val="18"/>
              </w:rPr>
            </w:pPr>
            <w:r>
              <w:rPr>
                <w:rFonts w:hint="eastAsia" w:ascii="宋体" w:hAnsi="宋体"/>
                <w:bCs/>
                <w:sz w:val="18"/>
              </w:rPr>
              <w:t>企业不了解最新强制性标准要求</w:t>
            </w:r>
            <w:r>
              <w:rPr>
                <w:rFonts w:hint="eastAsia" w:ascii="宋体" w:hAnsi="宋体"/>
                <w:bCs/>
                <w:sz w:val="18"/>
              </w:rPr>
              <w:br w:type="textWrapping"/>
            </w:r>
            <w:r>
              <w:rPr>
                <w:rFonts w:hint="eastAsia" w:ascii="宋体" w:hAnsi="宋体"/>
                <w:bCs/>
                <w:sz w:val="18"/>
              </w:rPr>
              <w:t>产品技术参数与标准脱节</w:t>
            </w:r>
            <w:r>
              <w:rPr>
                <w:rFonts w:hint="eastAsia" w:ascii="宋体" w:hAnsi="宋体"/>
                <w:bCs/>
                <w:sz w:val="18"/>
              </w:rPr>
              <w:br w:type="textWrapping"/>
            </w:r>
            <w:r>
              <w:rPr>
                <w:rFonts w:hint="eastAsia" w:ascii="宋体" w:hAnsi="宋体"/>
                <w:bCs/>
                <w:sz w:val="18"/>
              </w:rPr>
              <w:t>标准版本未及时更新</w:t>
            </w:r>
          </w:p>
        </w:tc>
        <w:tc>
          <w:tcPr>
            <w:tcW w:w="1468" w:type="dxa"/>
            <w:shd w:val="clear" w:color="auto" w:fill="FFFFFF" w:themeFill="background1"/>
            <w:vAlign w:val="center"/>
          </w:tcPr>
          <w:p w14:paraId="5B86A7AA">
            <w:pPr>
              <w:spacing w:line="240" w:lineRule="auto"/>
              <w:jc w:val="left"/>
              <w:rPr>
                <w:rFonts w:ascii="宋体" w:hAnsi="宋体"/>
                <w:bCs/>
                <w:sz w:val="18"/>
              </w:rPr>
            </w:pPr>
            <w:r>
              <w:rPr>
                <w:rFonts w:hint="eastAsia" w:ascii="宋体" w:hAnsi="宋体"/>
                <w:bCs/>
                <w:sz w:val="18"/>
              </w:rPr>
              <w:t>组织行业标准宣贯培训，解读强制性标准及检测方法更新内容，提供标准文本及差异对照，指导企业完成产品设计整改</w:t>
            </w:r>
          </w:p>
        </w:tc>
        <w:tc>
          <w:tcPr>
            <w:tcW w:w="738" w:type="dxa"/>
            <w:shd w:val="clear" w:color="auto" w:fill="FFFFFF" w:themeFill="background1"/>
            <w:vAlign w:val="center"/>
          </w:tcPr>
          <w:p w14:paraId="57DB0544">
            <w:pPr>
              <w:spacing w:line="240" w:lineRule="auto"/>
              <w:jc w:val="left"/>
              <w:rPr>
                <w:rFonts w:ascii="宋体" w:hAnsi="宋体"/>
                <w:bCs/>
                <w:sz w:val="18"/>
              </w:rPr>
            </w:pPr>
            <w:r>
              <w:rPr>
                <w:rFonts w:hint="eastAsia" w:ascii="宋体" w:hAnsi="宋体"/>
                <w:bCs/>
                <w:sz w:val="18"/>
              </w:rPr>
              <w:t>XX标准化技术</w:t>
            </w:r>
            <w:r>
              <w:rPr>
                <w:rFonts w:hint="eastAsia" w:ascii="宋体" w:hAnsi="宋体"/>
                <w:bCs/>
                <w:sz w:val="18"/>
              </w:rPr>
              <w:br w:type="textWrapping"/>
            </w:r>
            <w:r>
              <w:rPr>
                <w:rFonts w:hint="eastAsia" w:ascii="宋体" w:hAnsi="宋体"/>
                <w:bCs/>
                <w:sz w:val="18"/>
              </w:rPr>
              <w:t>委员会</w:t>
            </w:r>
            <w:r>
              <w:rPr>
                <w:rFonts w:hint="eastAsia" w:ascii="宋体" w:hAnsi="宋体"/>
                <w:bCs/>
                <w:sz w:val="18"/>
              </w:rPr>
              <w:br w:type="textWrapping"/>
            </w:r>
            <w:r>
              <w:rPr>
                <w:rFonts w:hint="eastAsia" w:ascii="宋体" w:hAnsi="宋体"/>
                <w:bCs/>
                <w:sz w:val="18"/>
              </w:rPr>
              <w:t>（陈研究员）</w:t>
            </w:r>
          </w:p>
        </w:tc>
        <w:tc>
          <w:tcPr>
            <w:tcW w:w="637" w:type="dxa"/>
            <w:shd w:val="clear" w:color="auto" w:fill="FFFFFF" w:themeFill="background1"/>
            <w:vAlign w:val="center"/>
          </w:tcPr>
          <w:p w14:paraId="0865D9BF">
            <w:pPr>
              <w:spacing w:line="240" w:lineRule="auto"/>
              <w:jc w:val="left"/>
              <w:rPr>
                <w:rFonts w:ascii="宋体" w:hAnsi="宋体"/>
                <w:bCs/>
                <w:sz w:val="18"/>
              </w:rPr>
            </w:pPr>
            <w:r>
              <w:rPr>
                <w:rFonts w:hint="eastAsia" w:ascii="宋体" w:hAnsi="宋体"/>
                <w:bCs/>
                <w:sz w:val="18"/>
              </w:rPr>
              <w:t>20家</w:t>
            </w:r>
          </w:p>
        </w:tc>
        <w:tc>
          <w:tcPr>
            <w:tcW w:w="580" w:type="dxa"/>
            <w:shd w:val="clear" w:color="auto" w:fill="FFFFFF" w:themeFill="background1"/>
            <w:vAlign w:val="center"/>
          </w:tcPr>
          <w:p w14:paraId="465F3846">
            <w:pPr>
              <w:spacing w:line="240" w:lineRule="auto"/>
              <w:jc w:val="left"/>
              <w:rPr>
                <w:rFonts w:ascii="宋体" w:hAnsi="宋体"/>
                <w:bCs/>
                <w:sz w:val="18"/>
              </w:rPr>
            </w:pPr>
            <w:r>
              <w:rPr>
                <w:rFonts w:hint="eastAsia" w:ascii="宋体" w:hAnsi="宋体"/>
                <w:bCs/>
                <w:sz w:val="18"/>
              </w:rPr>
              <w:t>20XX年X月—</w:t>
            </w:r>
            <w:r>
              <w:rPr>
                <w:rFonts w:hint="eastAsia" w:ascii="宋体" w:hAnsi="宋体"/>
                <w:bCs/>
                <w:sz w:val="18"/>
              </w:rPr>
              <w:br w:type="textWrapping"/>
            </w:r>
            <w:r>
              <w:rPr>
                <w:rFonts w:hint="eastAsia" w:ascii="宋体" w:hAnsi="宋体"/>
                <w:bCs/>
                <w:sz w:val="18"/>
              </w:rPr>
              <w:t>20XX年X月</w:t>
            </w:r>
          </w:p>
        </w:tc>
        <w:tc>
          <w:tcPr>
            <w:tcW w:w="1137" w:type="dxa"/>
            <w:shd w:val="clear" w:color="auto" w:fill="FFFFFF" w:themeFill="background1"/>
            <w:vAlign w:val="center"/>
          </w:tcPr>
          <w:p w14:paraId="4DFE9EA2">
            <w:pPr>
              <w:spacing w:line="240" w:lineRule="auto"/>
              <w:jc w:val="left"/>
              <w:rPr>
                <w:rFonts w:ascii="宋体" w:hAnsi="宋体"/>
                <w:bCs/>
                <w:sz w:val="18"/>
              </w:rPr>
            </w:pPr>
            <w:r>
              <w:rPr>
                <w:rFonts w:hint="eastAsia" w:ascii="宋体" w:hAnsi="宋体"/>
                <w:bCs/>
                <w:sz w:val="18"/>
              </w:rPr>
              <w:t>宣贯覆盖率100%（目标企业）；培训后考核合格率≥90%；企业标准库更新完成率≥95%</w:t>
            </w:r>
          </w:p>
        </w:tc>
        <w:tc>
          <w:tcPr>
            <w:tcW w:w="914" w:type="dxa"/>
            <w:shd w:val="clear" w:color="auto" w:fill="FFFFFF" w:themeFill="background1"/>
            <w:vAlign w:val="center"/>
          </w:tcPr>
          <w:p w14:paraId="3C189873">
            <w:pPr>
              <w:spacing w:line="240" w:lineRule="auto"/>
              <w:jc w:val="left"/>
              <w:rPr>
                <w:rFonts w:ascii="宋体" w:hAnsi="宋体"/>
                <w:bCs/>
                <w:sz w:val="18"/>
              </w:rPr>
            </w:pPr>
            <w:r>
              <w:rPr>
                <w:rFonts w:hint="eastAsia" w:ascii="宋体" w:hAnsi="宋体"/>
                <w:bCs/>
                <w:sz w:val="18"/>
              </w:rPr>
              <w:t>培训签到记录核查；考核成绩统计；产品技术文件版本核查</w:t>
            </w:r>
          </w:p>
        </w:tc>
        <w:tc>
          <w:tcPr>
            <w:tcW w:w="1357" w:type="dxa"/>
            <w:shd w:val="clear" w:color="auto" w:fill="FFFFFF" w:themeFill="background1"/>
            <w:vAlign w:val="center"/>
          </w:tcPr>
          <w:p w14:paraId="169D4753">
            <w:pPr>
              <w:spacing w:line="240" w:lineRule="auto"/>
              <w:jc w:val="left"/>
              <w:rPr>
                <w:rFonts w:ascii="宋体" w:hAnsi="宋体"/>
                <w:bCs/>
                <w:sz w:val="18"/>
              </w:rPr>
            </w:pPr>
            <w:r>
              <w:rPr>
                <w:rFonts w:hint="eastAsia" w:ascii="宋体" w:hAnsi="宋体"/>
                <w:bCs/>
                <w:sz w:val="18"/>
              </w:rPr>
              <w:t>市市场监管局</w:t>
            </w:r>
            <w:r>
              <w:rPr>
                <w:rFonts w:hint="eastAsia" w:ascii="宋体" w:hAnsi="宋体"/>
                <w:bCs/>
                <w:sz w:val="18"/>
              </w:rPr>
              <w:br w:type="textWrapping"/>
            </w:r>
            <w:r>
              <w:rPr>
                <w:rFonts w:hint="eastAsia" w:ascii="宋体" w:hAnsi="宋体"/>
                <w:bCs/>
                <w:sz w:val="18"/>
              </w:rPr>
              <w:t>标准化科</w:t>
            </w:r>
          </w:p>
        </w:tc>
        <w:tc>
          <w:tcPr>
            <w:tcW w:w="634" w:type="dxa"/>
            <w:shd w:val="clear" w:color="auto" w:fill="FFFFFF" w:themeFill="background1"/>
            <w:vAlign w:val="center"/>
          </w:tcPr>
          <w:p w14:paraId="2AC602EF">
            <w:pPr>
              <w:spacing w:line="240" w:lineRule="auto"/>
              <w:jc w:val="left"/>
              <w:rPr>
                <w:rFonts w:ascii="宋体" w:hAnsi="宋体"/>
                <w:bCs/>
                <w:sz w:val="18"/>
              </w:rPr>
            </w:pPr>
          </w:p>
        </w:tc>
      </w:tr>
      <w:tr w14:paraId="312B1BE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421" w:type="dxa"/>
            <w:shd w:val="clear" w:color="auto" w:fill="FFFFFF" w:themeFill="background1"/>
            <w:vAlign w:val="center"/>
          </w:tcPr>
          <w:p w14:paraId="7812DEA7">
            <w:pPr>
              <w:spacing w:line="240" w:lineRule="auto"/>
              <w:jc w:val="left"/>
              <w:rPr>
                <w:rFonts w:ascii="宋体" w:hAnsi="宋体"/>
                <w:bCs/>
                <w:sz w:val="18"/>
              </w:rPr>
            </w:pPr>
            <w:r>
              <w:rPr>
                <w:rFonts w:hint="eastAsia" w:ascii="宋体" w:hAnsi="宋体"/>
                <w:bCs/>
                <w:sz w:val="18"/>
              </w:rPr>
              <w:t>7</w:t>
            </w:r>
          </w:p>
        </w:tc>
        <w:tc>
          <w:tcPr>
            <w:tcW w:w="696" w:type="dxa"/>
            <w:shd w:val="clear" w:color="auto" w:fill="FFFFFF" w:themeFill="background1"/>
            <w:vAlign w:val="center"/>
          </w:tcPr>
          <w:p w14:paraId="06F493B3">
            <w:pPr>
              <w:spacing w:line="240" w:lineRule="auto"/>
              <w:jc w:val="left"/>
              <w:rPr>
                <w:rFonts w:ascii="宋体" w:hAnsi="宋体"/>
                <w:bCs/>
                <w:sz w:val="18"/>
              </w:rPr>
            </w:pPr>
            <w:r>
              <w:rPr>
                <w:rFonts w:hint="eastAsia" w:ascii="宋体" w:hAnsi="宋体"/>
                <w:bCs/>
                <w:sz w:val="18"/>
              </w:rPr>
              <w:t>标准宣贯类（团体/地方标准）</w:t>
            </w:r>
          </w:p>
        </w:tc>
        <w:tc>
          <w:tcPr>
            <w:tcW w:w="988" w:type="dxa"/>
            <w:shd w:val="clear" w:color="auto" w:fill="FFFFFF" w:themeFill="background1"/>
            <w:vAlign w:val="center"/>
          </w:tcPr>
          <w:p w14:paraId="6FD2E436">
            <w:pPr>
              <w:spacing w:line="240" w:lineRule="auto"/>
              <w:jc w:val="left"/>
              <w:rPr>
                <w:rFonts w:ascii="宋体" w:hAnsi="宋体"/>
                <w:bCs/>
                <w:sz w:val="18"/>
              </w:rPr>
            </w:pPr>
            <w:r>
              <w:rPr>
                <w:rFonts w:hint="eastAsia" w:ascii="宋体" w:hAnsi="宋体"/>
                <w:bCs/>
                <w:sz w:val="18"/>
              </w:rPr>
              <w:t>企业不了解行业团体标准或地方标准</w:t>
            </w:r>
            <w:r>
              <w:rPr>
                <w:rFonts w:hint="eastAsia" w:ascii="宋体" w:hAnsi="宋体"/>
                <w:bCs/>
                <w:sz w:val="18"/>
              </w:rPr>
              <w:br w:type="textWrapping"/>
            </w:r>
            <w:r>
              <w:rPr>
                <w:rFonts w:hint="eastAsia" w:ascii="宋体" w:hAnsi="宋体"/>
                <w:bCs/>
                <w:sz w:val="18"/>
              </w:rPr>
              <w:t>产品执行标准层次偏低</w:t>
            </w:r>
          </w:p>
        </w:tc>
        <w:tc>
          <w:tcPr>
            <w:tcW w:w="1468" w:type="dxa"/>
            <w:shd w:val="clear" w:color="auto" w:fill="FFFFFF" w:themeFill="background1"/>
            <w:vAlign w:val="center"/>
          </w:tcPr>
          <w:p w14:paraId="0889CF93">
            <w:pPr>
              <w:spacing w:line="240" w:lineRule="auto"/>
              <w:jc w:val="left"/>
              <w:rPr>
                <w:rFonts w:ascii="宋体" w:hAnsi="宋体"/>
                <w:bCs/>
                <w:sz w:val="18"/>
              </w:rPr>
            </w:pPr>
            <w:r>
              <w:rPr>
                <w:rFonts w:hint="eastAsia" w:ascii="宋体" w:hAnsi="宋体"/>
                <w:bCs/>
                <w:sz w:val="18"/>
              </w:rPr>
              <w:t>宣贯相关团体标准、地方标准内容，指导企业提升产品标准适用层次，鼓励参与标准制修订</w:t>
            </w:r>
          </w:p>
        </w:tc>
        <w:tc>
          <w:tcPr>
            <w:tcW w:w="738" w:type="dxa"/>
            <w:shd w:val="clear" w:color="auto" w:fill="FFFFFF" w:themeFill="background1"/>
            <w:vAlign w:val="center"/>
          </w:tcPr>
          <w:p w14:paraId="29ECF9DE">
            <w:pPr>
              <w:spacing w:line="240" w:lineRule="auto"/>
              <w:jc w:val="left"/>
              <w:rPr>
                <w:rFonts w:ascii="宋体" w:hAnsi="宋体"/>
                <w:bCs/>
                <w:sz w:val="18"/>
              </w:rPr>
            </w:pPr>
            <w:r>
              <w:rPr>
                <w:rFonts w:hint="eastAsia" w:ascii="宋体" w:hAnsi="宋体"/>
                <w:bCs/>
                <w:sz w:val="18"/>
              </w:rPr>
              <w:t>XX标准化研究院</w:t>
            </w:r>
            <w:r>
              <w:rPr>
                <w:rFonts w:hint="eastAsia" w:ascii="宋体" w:hAnsi="宋体"/>
                <w:bCs/>
                <w:sz w:val="18"/>
              </w:rPr>
              <w:br w:type="textWrapping"/>
            </w:r>
            <w:r>
              <w:rPr>
                <w:rFonts w:hint="eastAsia" w:ascii="宋体" w:hAnsi="宋体"/>
                <w:bCs/>
                <w:sz w:val="18"/>
              </w:rPr>
              <w:t>（标准推广部）</w:t>
            </w:r>
          </w:p>
        </w:tc>
        <w:tc>
          <w:tcPr>
            <w:tcW w:w="637" w:type="dxa"/>
            <w:shd w:val="clear" w:color="auto" w:fill="FFFFFF" w:themeFill="background1"/>
            <w:vAlign w:val="center"/>
          </w:tcPr>
          <w:p w14:paraId="033A8DB9">
            <w:pPr>
              <w:spacing w:line="240" w:lineRule="auto"/>
              <w:jc w:val="left"/>
              <w:rPr>
                <w:rFonts w:ascii="宋体" w:hAnsi="宋体"/>
                <w:bCs/>
                <w:sz w:val="18"/>
              </w:rPr>
            </w:pPr>
            <w:r>
              <w:rPr>
                <w:rFonts w:hint="eastAsia" w:ascii="宋体" w:hAnsi="宋体"/>
                <w:bCs/>
                <w:sz w:val="18"/>
              </w:rPr>
              <w:t>15家</w:t>
            </w:r>
          </w:p>
        </w:tc>
        <w:tc>
          <w:tcPr>
            <w:tcW w:w="580" w:type="dxa"/>
            <w:shd w:val="clear" w:color="auto" w:fill="FFFFFF" w:themeFill="background1"/>
            <w:vAlign w:val="center"/>
          </w:tcPr>
          <w:p w14:paraId="785B9E09">
            <w:pPr>
              <w:spacing w:line="240" w:lineRule="auto"/>
              <w:jc w:val="left"/>
              <w:rPr>
                <w:rFonts w:ascii="宋体" w:hAnsi="宋体"/>
                <w:bCs/>
                <w:sz w:val="18"/>
              </w:rPr>
            </w:pPr>
            <w:r>
              <w:rPr>
                <w:rFonts w:hint="eastAsia" w:ascii="宋体" w:hAnsi="宋体"/>
                <w:bCs/>
                <w:sz w:val="18"/>
              </w:rPr>
              <w:t>20XX年X月—</w:t>
            </w:r>
            <w:r>
              <w:rPr>
                <w:rFonts w:hint="eastAsia" w:ascii="宋体" w:hAnsi="宋体"/>
                <w:bCs/>
                <w:sz w:val="18"/>
              </w:rPr>
              <w:br w:type="textWrapping"/>
            </w:r>
            <w:r>
              <w:rPr>
                <w:rFonts w:hint="eastAsia" w:ascii="宋体" w:hAnsi="宋体"/>
                <w:bCs/>
                <w:sz w:val="18"/>
              </w:rPr>
              <w:t>20XX年X月</w:t>
            </w:r>
          </w:p>
        </w:tc>
        <w:tc>
          <w:tcPr>
            <w:tcW w:w="1137" w:type="dxa"/>
            <w:shd w:val="clear" w:color="auto" w:fill="FFFFFF" w:themeFill="background1"/>
            <w:vAlign w:val="center"/>
          </w:tcPr>
          <w:p w14:paraId="6DCAC970">
            <w:pPr>
              <w:spacing w:line="240" w:lineRule="auto"/>
              <w:jc w:val="left"/>
              <w:rPr>
                <w:rFonts w:ascii="宋体" w:hAnsi="宋体"/>
                <w:bCs/>
                <w:sz w:val="18"/>
              </w:rPr>
            </w:pPr>
            <w:r>
              <w:rPr>
                <w:rFonts w:hint="eastAsia" w:ascii="宋体" w:hAnsi="宋体"/>
                <w:bCs/>
                <w:sz w:val="18"/>
              </w:rPr>
              <w:t>宣贯覆盖目标企业100%；企业标准备案更新率≥80%；有条件的企业参与标准制修订≥2家</w:t>
            </w:r>
          </w:p>
        </w:tc>
        <w:tc>
          <w:tcPr>
            <w:tcW w:w="914" w:type="dxa"/>
            <w:shd w:val="clear" w:color="auto" w:fill="FFFFFF" w:themeFill="background1"/>
            <w:vAlign w:val="center"/>
          </w:tcPr>
          <w:p w14:paraId="179EBC82">
            <w:pPr>
              <w:spacing w:line="240" w:lineRule="auto"/>
              <w:jc w:val="left"/>
              <w:rPr>
                <w:rFonts w:ascii="宋体" w:hAnsi="宋体"/>
                <w:bCs/>
                <w:sz w:val="18"/>
              </w:rPr>
            </w:pPr>
            <w:r>
              <w:rPr>
                <w:rFonts w:hint="eastAsia" w:ascii="宋体" w:hAnsi="宋体"/>
                <w:bCs/>
                <w:sz w:val="18"/>
              </w:rPr>
              <w:t>企业标准备案记录核查；问卷调查</w:t>
            </w:r>
          </w:p>
        </w:tc>
        <w:tc>
          <w:tcPr>
            <w:tcW w:w="1357" w:type="dxa"/>
            <w:shd w:val="clear" w:color="auto" w:fill="FFFFFF" w:themeFill="background1"/>
            <w:vAlign w:val="center"/>
          </w:tcPr>
          <w:p w14:paraId="3FB29394">
            <w:pPr>
              <w:spacing w:line="240" w:lineRule="auto"/>
              <w:jc w:val="left"/>
              <w:rPr>
                <w:rFonts w:ascii="宋体" w:hAnsi="宋体"/>
                <w:bCs/>
                <w:sz w:val="18"/>
              </w:rPr>
            </w:pPr>
            <w:r>
              <w:rPr>
                <w:rFonts w:hint="eastAsia" w:ascii="宋体" w:hAnsi="宋体"/>
                <w:bCs/>
                <w:sz w:val="18"/>
              </w:rPr>
              <w:t>市市场监管局</w:t>
            </w:r>
            <w:r>
              <w:rPr>
                <w:rFonts w:hint="eastAsia" w:ascii="宋体" w:hAnsi="宋体"/>
                <w:bCs/>
                <w:sz w:val="18"/>
              </w:rPr>
              <w:br w:type="textWrapping"/>
            </w:r>
            <w:r>
              <w:rPr>
                <w:rFonts w:hint="eastAsia" w:ascii="宋体" w:hAnsi="宋体"/>
                <w:bCs/>
                <w:sz w:val="18"/>
              </w:rPr>
              <w:t>标准化科</w:t>
            </w:r>
          </w:p>
        </w:tc>
        <w:tc>
          <w:tcPr>
            <w:tcW w:w="634" w:type="dxa"/>
            <w:shd w:val="clear" w:color="auto" w:fill="FFFFFF" w:themeFill="background1"/>
            <w:vAlign w:val="center"/>
          </w:tcPr>
          <w:p w14:paraId="40D47220">
            <w:pPr>
              <w:spacing w:line="240" w:lineRule="auto"/>
              <w:jc w:val="left"/>
              <w:rPr>
                <w:rFonts w:ascii="宋体" w:hAnsi="宋体"/>
                <w:bCs/>
                <w:sz w:val="18"/>
              </w:rPr>
            </w:pPr>
          </w:p>
        </w:tc>
      </w:tr>
      <w:tr w14:paraId="5EEABA8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421" w:type="dxa"/>
            <w:shd w:val="clear" w:color="auto" w:fill="FFFFFF" w:themeFill="background1"/>
            <w:vAlign w:val="center"/>
          </w:tcPr>
          <w:p w14:paraId="5DDA446F">
            <w:pPr>
              <w:spacing w:line="240" w:lineRule="auto"/>
              <w:jc w:val="left"/>
              <w:rPr>
                <w:rFonts w:ascii="宋体" w:hAnsi="宋体"/>
                <w:bCs/>
                <w:sz w:val="18"/>
              </w:rPr>
            </w:pPr>
            <w:r>
              <w:rPr>
                <w:rFonts w:hint="eastAsia" w:ascii="宋体" w:hAnsi="宋体"/>
                <w:bCs/>
                <w:sz w:val="18"/>
              </w:rPr>
              <w:t>8</w:t>
            </w:r>
          </w:p>
        </w:tc>
        <w:tc>
          <w:tcPr>
            <w:tcW w:w="696" w:type="dxa"/>
            <w:shd w:val="clear" w:color="auto" w:fill="FFFFFF" w:themeFill="background1"/>
            <w:vAlign w:val="center"/>
          </w:tcPr>
          <w:p w14:paraId="19803629">
            <w:pPr>
              <w:spacing w:line="240" w:lineRule="auto"/>
              <w:jc w:val="left"/>
              <w:rPr>
                <w:rFonts w:ascii="宋体" w:hAnsi="宋体"/>
                <w:bCs/>
                <w:sz w:val="18"/>
              </w:rPr>
            </w:pPr>
            <w:r>
              <w:rPr>
                <w:rFonts w:hint="eastAsia" w:ascii="宋体" w:hAnsi="宋体"/>
                <w:bCs/>
                <w:sz w:val="18"/>
              </w:rPr>
              <w:t>培训指导类（质量管理培训）</w:t>
            </w:r>
          </w:p>
        </w:tc>
        <w:tc>
          <w:tcPr>
            <w:tcW w:w="988" w:type="dxa"/>
            <w:shd w:val="clear" w:color="auto" w:fill="FFFFFF" w:themeFill="background1"/>
            <w:vAlign w:val="center"/>
          </w:tcPr>
          <w:p w14:paraId="66AA8295">
            <w:pPr>
              <w:spacing w:line="240" w:lineRule="auto"/>
              <w:jc w:val="left"/>
              <w:rPr>
                <w:rFonts w:ascii="宋体" w:hAnsi="宋体"/>
                <w:bCs/>
                <w:sz w:val="18"/>
              </w:rPr>
            </w:pPr>
            <w:r>
              <w:rPr>
                <w:rFonts w:hint="eastAsia" w:ascii="宋体" w:hAnsi="宋体"/>
                <w:bCs/>
                <w:sz w:val="18"/>
              </w:rPr>
              <w:t>质量管理人员能力不足</w:t>
            </w:r>
            <w:r>
              <w:rPr>
                <w:rFonts w:hint="eastAsia" w:ascii="宋体" w:hAnsi="宋体"/>
                <w:bCs/>
                <w:sz w:val="18"/>
              </w:rPr>
              <w:br w:type="textWrapping"/>
            </w:r>
            <w:r>
              <w:rPr>
                <w:rFonts w:hint="eastAsia" w:ascii="宋体" w:hAnsi="宋体"/>
                <w:bCs/>
                <w:sz w:val="18"/>
              </w:rPr>
              <w:t>一线操作人员质量意识薄弱</w:t>
            </w:r>
            <w:r>
              <w:rPr>
                <w:rFonts w:hint="eastAsia" w:ascii="宋体" w:hAnsi="宋体"/>
                <w:bCs/>
                <w:sz w:val="18"/>
              </w:rPr>
              <w:br w:type="textWrapping"/>
            </w:r>
            <w:r>
              <w:rPr>
                <w:rFonts w:hint="eastAsia" w:ascii="宋体" w:hAnsi="宋体"/>
                <w:bCs/>
                <w:sz w:val="18"/>
              </w:rPr>
              <w:t>质量岗位人才匮乏</w:t>
            </w:r>
          </w:p>
        </w:tc>
        <w:tc>
          <w:tcPr>
            <w:tcW w:w="1468" w:type="dxa"/>
            <w:shd w:val="clear" w:color="auto" w:fill="FFFFFF" w:themeFill="background1"/>
            <w:vAlign w:val="center"/>
          </w:tcPr>
          <w:p w14:paraId="3660771B">
            <w:pPr>
              <w:spacing w:line="240" w:lineRule="auto"/>
              <w:jc w:val="left"/>
              <w:rPr>
                <w:rFonts w:ascii="宋体" w:hAnsi="宋体"/>
                <w:bCs/>
                <w:sz w:val="18"/>
              </w:rPr>
            </w:pPr>
            <w:r>
              <w:rPr>
                <w:rFonts w:hint="eastAsia" w:ascii="宋体" w:hAnsi="宋体"/>
                <w:bCs/>
                <w:sz w:val="18"/>
              </w:rPr>
              <w:t>开展质量管理基础与专项技能培训，课程含质量意识、SPC统计过程控制、检验操作规范、质量成本分析等，含线上与线下</w:t>
            </w:r>
          </w:p>
        </w:tc>
        <w:tc>
          <w:tcPr>
            <w:tcW w:w="738" w:type="dxa"/>
            <w:shd w:val="clear" w:color="auto" w:fill="FFFFFF" w:themeFill="background1"/>
            <w:vAlign w:val="center"/>
          </w:tcPr>
          <w:p w14:paraId="2DC60CA5">
            <w:pPr>
              <w:spacing w:line="240" w:lineRule="auto"/>
              <w:jc w:val="left"/>
              <w:rPr>
                <w:rFonts w:ascii="宋体" w:hAnsi="宋体"/>
                <w:bCs/>
                <w:sz w:val="18"/>
              </w:rPr>
            </w:pPr>
            <w:r>
              <w:rPr>
                <w:rFonts w:hint="eastAsia" w:ascii="宋体" w:hAnsi="宋体"/>
                <w:bCs/>
                <w:sz w:val="18"/>
              </w:rPr>
              <w:t>XX培训机构</w:t>
            </w:r>
            <w:r>
              <w:rPr>
                <w:rFonts w:hint="eastAsia" w:ascii="宋体" w:hAnsi="宋体"/>
                <w:bCs/>
                <w:sz w:val="18"/>
              </w:rPr>
              <w:br w:type="textWrapping"/>
            </w:r>
            <w:r>
              <w:rPr>
                <w:rFonts w:hint="eastAsia" w:ascii="宋体" w:hAnsi="宋体"/>
                <w:bCs/>
                <w:sz w:val="18"/>
              </w:rPr>
              <w:t>（赵老师）</w:t>
            </w:r>
          </w:p>
        </w:tc>
        <w:tc>
          <w:tcPr>
            <w:tcW w:w="637" w:type="dxa"/>
            <w:shd w:val="clear" w:color="auto" w:fill="FFFFFF" w:themeFill="background1"/>
            <w:vAlign w:val="center"/>
          </w:tcPr>
          <w:p w14:paraId="21DFD482">
            <w:pPr>
              <w:spacing w:line="240" w:lineRule="auto"/>
              <w:jc w:val="left"/>
              <w:rPr>
                <w:rFonts w:ascii="宋体" w:hAnsi="宋体"/>
                <w:bCs/>
                <w:sz w:val="18"/>
              </w:rPr>
            </w:pPr>
            <w:r>
              <w:rPr>
                <w:rFonts w:hint="eastAsia" w:ascii="宋体" w:hAnsi="宋体"/>
                <w:bCs/>
                <w:sz w:val="18"/>
              </w:rPr>
              <w:t>15家</w:t>
            </w:r>
          </w:p>
        </w:tc>
        <w:tc>
          <w:tcPr>
            <w:tcW w:w="580" w:type="dxa"/>
            <w:shd w:val="clear" w:color="auto" w:fill="FFFFFF" w:themeFill="background1"/>
            <w:vAlign w:val="center"/>
          </w:tcPr>
          <w:p w14:paraId="22E84C68">
            <w:pPr>
              <w:spacing w:line="240" w:lineRule="auto"/>
              <w:jc w:val="left"/>
              <w:rPr>
                <w:rFonts w:ascii="宋体" w:hAnsi="宋体"/>
                <w:bCs/>
                <w:sz w:val="18"/>
              </w:rPr>
            </w:pPr>
            <w:r>
              <w:rPr>
                <w:rFonts w:hint="eastAsia" w:ascii="宋体" w:hAnsi="宋体"/>
                <w:bCs/>
                <w:sz w:val="18"/>
              </w:rPr>
              <w:t>20XX年X月—</w:t>
            </w:r>
            <w:r>
              <w:rPr>
                <w:rFonts w:hint="eastAsia" w:ascii="宋体" w:hAnsi="宋体"/>
                <w:bCs/>
                <w:sz w:val="18"/>
              </w:rPr>
              <w:br w:type="textWrapping"/>
            </w:r>
            <w:r>
              <w:rPr>
                <w:rFonts w:hint="eastAsia" w:ascii="宋体" w:hAnsi="宋体"/>
                <w:bCs/>
                <w:sz w:val="18"/>
              </w:rPr>
              <w:t>20XX年X月</w:t>
            </w:r>
          </w:p>
        </w:tc>
        <w:tc>
          <w:tcPr>
            <w:tcW w:w="1137" w:type="dxa"/>
            <w:shd w:val="clear" w:color="auto" w:fill="FFFFFF" w:themeFill="background1"/>
            <w:vAlign w:val="center"/>
          </w:tcPr>
          <w:p w14:paraId="44C7E8B4">
            <w:pPr>
              <w:spacing w:line="240" w:lineRule="auto"/>
              <w:jc w:val="left"/>
              <w:rPr>
                <w:rFonts w:ascii="宋体" w:hAnsi="宋体"/>
                <w:bCs/>
                <w:sz w:val="18"/>
              </w:rPr>
            </w:pPr>
            <w:r>
              <w:rPr>
                <w:rFonts w:hint="eastAsia" w:ascii="宋体" w:hAnsi="宋体"/>
                <w:bCs/>
                <w:sz w:val="18"/>
              </w:rPr>
              <w:t>关键岗位培训覆盖率100%；考核合格率≥90%；质量管理满意度评分≥4分（5分制）</w:t>
            </w:r>
          </w:p>
        </w:tc>
        <w:tc>
          <w:tcPr>
            <w:tcW w:w="914" w:type="dxa"/>
            <w:shd w:val="clear" w:color="auto" w:fill="FFFFFF" w:themeFill="background1"/>
            <w:vAlign w:val="center"/>
          </w:tcPr>
          <w:p w14:paraId="443720B3">
            <w:pPr>
              <w:spacing w:line="240" w:lineRule="auto"/>
              <w:jc w:val="left"/>
              <w:rPr>
                <w:rFonts w:ascii="宋体" w:hAnsi="宋体"/>
                <w:bCs/>
                <w:sz w:val="18"/>
              </w:rPr>
            </w:pPr>
            <w:r>
              <w:rPr>
                <w:rFonts w:hint="eastAsia" w:ascii="宋体" w:hAnsi="宋体"/>
                <w:bCs/>
                <w:sz w:val="18"/>
              </w:rPr>
              <w:t>培训签到表核查；考核成绩统计；抽查学员上岗表现</w:t>
            </w:r>
          </w:p>
        </w:tc>
        <w:tc>
          <w:tcPr>
            <w:tcW w:w="1357" w:type="dxa"/>
            <w:shd w:val="clear" w:color="auto" w:fill="FFFFFF" w:themeFill="background1"/>
            <w:vAlign w:val="center"/>
          </w:tcPr>
          <w:p w14:paraId="11EE4EAB">
            <w:pPr>
              <w:spacing w:line="240" w:lineRule="auto"/>
              <w:jc w:val="left"/>
              <w:rPr>
                <w:rFonts w:ascii="宋体" w:hAnsi="宋体"/>
                <w:bCs/>
                <w:sz w:val="18"/>
              </w:rPr>
            </w:pPr>
            <w:r>
              <w:rPr>
                <w:rFonts w:hint="eastAsia" w:ascii="宋体" w:hAnsi="宋体"/>
                <w:bCs/>
                <w:sz w:val="18"/>
              </w:rPr>
              <w:t>市市场监管局</w:t>
            </w:r>
            <w:r>
              <w:rPr>
                <w:rFonts w:hint="eastAsia" w:ascii="宋体" w:hAnsi="宋体"/>
                <w:bCs/>
                <w:sz w:val="18"/>
              </w:rPr>
              <w:br w:type="textWrapping"/>
            </w:r>
            <w:r>
              <w:rPr>
                <w:rFonts w:hint="eastAsia" w:ascii="宋体" w:hAnsi="宋体"/>
                <w:bCs/>
                <w:sz w:val="18"/>
              </w:rPr>
              <w:t>综合协调科</w:t>
            </w:r>
          </w:p>
        </w:tc>
        <w:tc>
          <w:tcPr>
            <w:tcW w:w="634" w:type="dxa"/>
            <w:shd w:val="clear" w:color="auto" w:fill="FFFFFF" w:themeFill="background1"/>
            <w:vAlign w:val="center"/>
          </w:tcPr>
          <w:p w14:paraId="7E4CAF37">
            <w:pPr>
              <w:spacing w:line="240" w:lineRule="auto"/>
              <w:jc w:val="left"/>
              <w:rPr>
                <w:rFonts w:ascii="宋体" w:hAnsi="宋体"/>
                <w:bCs/>
                <w:sz w:val="18"/>
              </w:rPr>
            </w:pPr>
          </w:p>
        </w:tc>
      </w:tr>
      <w:tr w14:paraId="468F7C7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421" w:type="dxa"/>
            <w:shd w:val="clear" w:color="auto" w:fill="FFFFFF" w:themeFill="background1"/>
            <w:vAlign w:val="center"/>
          </w:tcPr>
          <w:p w14:paraId="6E03B0E0">
            <w:pPr>
              <w:spacing w:line="240" w:lineRule="auto"/>
              <w:jc w:val="left"/>
              <w:rPr>
                <w:rFonts w:ascii="宋体" w:hAnsi="宋体"/>
                <w:bCs/>
                <w:sz w:val="18"/>
              </w:rPr>
            </w:pPr>
            <w:r>
              <w:rPr>
                <w:rFonts w:hint="eastAsia" w:ascii="宋体" w:hAnsi="宋体"/>
                <w:bCs/>
                <w:sz w:val="18"/>
              </w:rPr>
              <w:t>9</w:t>
            </w:r>
          </w:p>
        </w:tc>
        <w:tc>
          <w:tcPr>
            <w:tcW w:w="696" w:type="dxa"/>
            <w:shd w:val="clear" w:color="auto" w:fill="FFFFFF" w:themeFill="background1"/>
            <w:vAlign w:val="center"/>
          </w:tcPr>
          <w:p w14:paraId="1EA572AB">
            <w:pPr>
              <w:spacing w:line="240" w:lineRule="auto"/>
              <w:jc w:val="left"/>
              <w:rPr>
                <w:rFonts w:ascii="宋体" w:hAnsi="宋体"/>
                <w:bCs/>
                <w:sz w:val="18"/>
              </w:rPr>
            </w:pPr>
            <w:r>
              <w:rPr>
                <w:rFonts w:hint="eastAsia" w:ascii="宋体" w:hAnsi="宋体"/>
                <w:bCs/>
                <w:sz w:val="18"/>
              </w:rPr>
              <w:t>培训指导类</w:t>
            </w:r>
            <w:r>
              <w:rPr>
                <w:rFonts w:hint="eastAsia" w:ascii="宋体" w:hAnsi="宋体"/>
                <w:bCs/>
                <w:sz w:val="18"/>
              </w:rPr>
              <w:br w:type="textWrapping"/>
            </w:r>
            <w:r>
              <w:rPr>
                <w:rFonts w:hint="eastAsia" w:ascii="宋体" w:hAnsi="宋体"/>
                <w:bCs/>
                <w:sz w:val="18"/>
              </w:rPr>
              <w:t>（安全合规培训）</w:t>
            </w:r>
          </w:p>
        </w:tc>
        <w:tc>
          <w:tcPr>
            <w:tcW w:w="988" w:type="dxa"/>
            <w:shd w:val="clear" w:color="auto" w:fill="FFFFFF" w:themeFill="background1"/>
            <w:vAlign w:val="center"/>
          </w:tcPr>
          <w:p w14:paraId="4C2CD62C">
            <w:pPr>
              <w:spacing w:line="240" w:lineRule="auto"/>
              <w:jc w:val="left"/>
              <w:rPr>
                <w:rFonts w:ascii="宋体" w:hAnsi="宋体"/>
                <w:bCs/>
                <w:sz w:val="18"/>
              </w:rPr>
            </w:pPr>
            <w:r>
              <w:rPr>
                <w:rFonts w:hint="eastAsia" w:ascii="宋体" w:hAnsi="宋体"/>
                <w:bCs/>
                <w:sz w:val="18"/>
              </w:rPr>
              <w:t>产品安全合规意识薄弱</w:t>
            </w:r>
            <w:r>
              <w:rPr>
                <w:rFonts w:hint="eastAsia" w:ascii="宋体" w:hAnsi="宋体"/>
                <w:bCs/>
                <w:sz w:val="18"/>
              </w:rPr>
              <w:br w:type="textWrapping"/>
            </w:r>
            <w:r>
              <w:rPr>
                <w:rFonts w:hint="eastAsia" w:ascii="宋体" w:hAnsi="宋体"/>
                <w:bCs/>
                <w:sz w:val="18"/>
              </w:rPr>
              <w:t>缺陷产品召回机制未建立</w:t>
            </w:r>
            <w:r>
              <w:rPr>
                <w:rFonts w:hint="eastAsia" w:ascii="宋体" w:hAnsi="宋体"/>
                <w:bCs/>
                <w:sz w:val="18"/>
              </w:rPr>
              <w:br w:type="textWrapping"/>
            </w:r>
            <w:r>
              <w:rPr>
                <w:rFonts w:hint="eastAsia" w:ascii="宋体" w:hAnsi="宋体"/>
                <w:bCs/>
                <w:sz w:val="18"/>
              </w:rPr>
              <w:t>消费品安全标识不规范</w:t>
            </w:r>
          </w:p>
        </w:tc>
        <w:tc>
          <w:tcPr>
            <w:tcW w:w="1468" w:type="dxa"/>
            <w:shd w:val="clear" w:color="auto" w:fill="FFFFFF" w:themeFill="background1"/>
            <w:vAlign w:val="center"/>
          </w:tcPr>
          <w:p w14:paraId="6F213DD5">
            <w:pPr>
              <w:spacing w:line="240" w:lineRule="auto"/>
              <w:jc w:val="left"/>
              <w:rPr>
                <w:rFonts w:ascii="宋体" w:hAnsi="宋体"/>
                <w:bCs/>
                <w:sz w:val="18"/>
              </w:rPr>
            </w:pPr>
            <w:r>
              <w:rPr>
                <w:rFonts w:hint="eastAsia" w:ascii="宋体" w:hAnsi="宋体"/>
                <w:bCs/>
                <w:sz w:val="18"/>
              </w:rPr>
              <w:t>开展产品安全法规宣贯（含缺陷产品召回、产品责任等），指导企业建立质量安全风险监测及召回应急预案，规范安全标识</w:t>
            </w:r>
          </w:p>
        </w:tc>
        <w:tc>
          <w:tcPr>
            <w:tcW w:w="738" w:type="dxa"/>
            <w:shd w:val="clear" w:color="auto" w:fill="FFFFFF" w:themeFill="background1"/>
            <w:vAlign w:val="center"/>
          </w:tcPr>
          <w:p w14:paraId="694E0B23">
            <w:pPr>
              <w:spacing w:line="240" w:lineRule="auto"/>
              <w:jc w:val="left"/>
              <w:rPr>
                <w:rFonts w:ascii="宋体" w:hAnsi="宋体"/>
                <w:bCs/>
                <w:sz w:val="18"/>
              </w:rPr>
            </w:pPr>
            <w:r>
              <w:rPr>
                <w:rFonts w:hint="eastAsia" w:ascii="宋体" w:hAnsi="宋体"/>
                <w:bCs/>
                <w:sz w:val="18"/>
              </w:rPr>
              <w:t>XX质检院</w:t>
            </w:r>
            <w:r>
              <w:rPr>
                <w:rFonts w:hint="eastAsia" w:ascii="宋体" w:hAnsi="宋体"/>
                <w:bCs/>
                <w:sz w:val="18"/>
              </w:rPr>
              <w:br w:type="textWrapping"/>
            </w:r>
            <w:r>
              <w:rPr>
                <w:rFonts w:hint="eastAsia" w:ascii="宋体" w:hAnsi="宋体"/>
                <w:bCs/>
                <w:sz w:val="18"/>
              </w:rPr>
              <w:t>（法规培训组）</w:t>
            </w:r>
          </w:p>
        </w:tc>
        <w:tc>
          <w:tcPr>
            <w:tcW w:w="637" w:type="dxa"/>
            <w:shd w:val="clear" w:color="auto" w:fill="FFFFFF" w:themeFill="background1"/>
            <w:vAlign w:val="center"/>
          </w:tcPr>
          <w:p w14:paraId="720E3A2B">
            <w:pPr>
              <w:spacing w:line="240" w:lineRule="auto"/>
              <w:jc w:val="left"/>
              <w:rPr>
                <w:rFonts w:ascii="宋体" w:hAnsi="宋体"/>
                <w:bCs/>
                <w:sz w:val="18"/>
              </w:rPr>
            </w:pPr>
            <w:r>
              <w:rPr>
                <w:rFonts w:hint="eastAsia" w:ascii="宋体" w:hAnsi="宋体"/>
                <w:bCs/>
                <w:sz w:val="18"/>
              </w:rPr>
              <w:t>18家</w:t>
            </w:r>
          </w:p>
        </w:tc>
        <w:tc>
          <w:tcPr>
            <w:tcW w:w="580" w:type="dxa"/>
            <w:shd w:val="clear" w:color="auto" w:fill="FFFFFF" w:themeFill="background1"/>
            <w:vAlign w:val="center"/>
          </w:tcPr>
          <w:p w14:paraId="26DA7883">
            <w:pPr>
              <w:spacing w:line="240" w:lineRule="auto"/>
              <w:jc w:val="left"/>
              <w:rPr>
                <w:rFonts w:ascii="宋体" w:hAnsi="宋体"/>
                <w:bCs/>
                <w:sz w:val="18"/>
              </w:rPr>
            </w:pPr>
            <w:r>
              <w:rPr>
                <w:rFonts w:hint="eastAsia" w:ascii="宋体" w:hAnsi="宋体"/>
                <w:bCs/>
                <w:sz w:val="18"/>
              </w:rPr>
              <w:t>20XX年X月—</w:t>
            </w:r>
            <w:r>
              <w:rPr>
                <w:rFonts w:hint="eastAsia" w:ascii="宋体" w:hAnsi="宋体"/>
                <w:bCs/>
                <w:sz w:val="18"/>
              </w:rPr>
              <w:br w:type="textWrapping"/>
            </w:r>
            <w:r>
              <w:rPr>
                <w:rFonts w:hint="eastAsia" w:ascii="宋体" w:hAnsi="宋体"/>
                <w:bCs/>
                <w:sz w:val="18"/>
              </w:rPr>
              <w:t>20XX年X月</w:t>
            </w:r>
          </w:p>
        </w:tc>
        <w:tc>
          <w:tcPr>
            <w:tcW w:w="1137" w:type="dxa"/>
            <w:shd w:val="clear" w:color="auto" w:fill="FFFFFF" w:themeFill="background1"/>
            <w:vAlign w:val="center"/>
          </w:tcPr>
          <w:p w14:paraId="264DFADB">
            <w:pPr>
              <w:spacing w:line="240" w:lineRule="auto"/>
              <w:jc w:val="left"/>
              <w:rPr>
                <w:rFonts w:ascii="宋体" w:hAnsi="宋体"/>
                <w:bCs/>
                <w:sz w:val="18"/>
              </w:rPr>
            </w:pPr>
            <w:r>
              <w:rPr>
                <w:rFonts w:hint="eastAsia" w:ascii="宋体" w:hAnsi="宋体"/>
                <w:bCs/>
                <w:sz w:val="18"/>
              </w:rPr>
              <w:t>安全法规知识合格率≥90%；召回应急预案建立率100%（目标企业）；安全标识规范整改率≥95%</w:t>
            </w:r>
          </w:p>
        </w:tc>
        <w:tc>
          <w:tcPr>
            <w:tcW w:w="914" w:type="dxa"/>
            <w:shd w:val="clear" w:color="auto" w:fill="FFFFFF" w:themeFill="background1"/>
            <w:vAlign w:val="center"/>
          </w:tcPr>
          <w:p w14:paraId="189D5F0E">
            <w:pPr>
              <w:spacing w:line="240" w:lineRule="auto"/>
              <w:jc w:val="left"/>
              <w:rPr>
                <w:rFonts w:ascii="宋体" w:hAnsi="宋体"/>
                <w:bCs/>
                <w:sz w:val="18"/>
              </w:rPr>
            </w:pPr>
            <w:r>
              <w:rPr>
                <w:rFonts w:hint="eastAsia" w:ascii="宋体" w:hAnsi="宋体"/>
                <w:bCs/>
                <w:sz w:val="18"/>
              </w:rPr>
              <w:t>培训考核；预案文件审查；标识实物核查</w:t>
            </w:r>
          </w:p>
        </w:tc>
        <w:tc>
          <w:tcPr>
            <w:tcW w:w="1357" w:type="dxa"/>
            <w:shd w:val="clear" w:color="auto" w:fill="FFFFFF" w:themeFill="background1"/>
            <w:vAlign w:val="center"/>
          </w:tcPr>
          <w:p w14:paraId="6854581A">
            <w:pPr>
              <w:spacing w:line="240" w:lineRule="auto"/>
              <w:jc w:val="left"/>
              <w:rPr>
                <w:rFonts w:ascii="宋体" w:hAnsi="宋体"/>
                <w:bCs/>
                <w:sz w:val="18"/>
              </w:rPr>
            </w:pPr>
            <w:r>
              <w:rPr>
                <w:rFonts w:hint="eastAsia" w:ascii="宋体" w:hAnsi="宋体"/>
                <w:bCs/>
                <w:sz w:val="18"/>
              </w:rPr>
              <w:t>市市场监管局</w:t>
            </w:r>
            <w:r>
              <w:rPr>
                <w:rFonts w:hint="eastAsia" w:ascii="宋体" w:hAnsi="宋体"/>
                <w:bCs/>
                <w:sz w:val="18"/>
              </w:rPr>
              <w:br w:type="textWrapping"/>
            </w:r>
            <w:r>
              <w:rPr>
                <w:rFonts w:hint="eastAsia" w:ascii="宋体" w:hAnsi="宋体"/>
                <w:bCs/>
                <w:sz w:val="18"/>
              </w:rPr>
              <w:t>产品安全监管科</w:t>
            </w:r>
          </w:p>
        </w:tc>
        <w:tc>
          <w:tcPr>
            <w:tcW w:w="634" w:type="dxa"/>
            <w:shd w:val="clear" w:color="auto" w:fill="FFFFFF" w:themeFill="background1"/>
            <w:vAlign w:val="center"/>
          </w:tcPr>
          <w:p w14:paraId="06C4CA3F">
            <w:pPr>
              <w:spacing w:line="240" w:lineRule="auto"/>
              <w:jc w:val="left"/>
              <w:rPr>
                <w:rFonts w:ascii="宋体" w:hAnsi="宋体"/>
                <w:bCs/>
                <w:sz w:val="18"/>
              </w:rPr>
            </w:pPr>
          </w:p>
        </w:tc>
      </w:tr>
    </w:tbl>
    <w:p w14:paraId="09A70088"/>
    <w:p w14:paraId="66CC1B53"/>
    <w:p w14:paraId="3F4128A7">
      <w:pPr>
        <w:spacing w:after="80"/>
        <w:jc w:val="center"/>
        <w:rPr>
          <w:rFonts w:ascii="宋体" w:hAnsi="宋体"/>
          <w:bCs/>
        </w:rPr>
      </w:pPr>
      <w:r>
        <w:rPr>
          <w:rFonts w:ascii="黑体" w:hAnsi="黑体" w:eastAsia="黑体"/>
          <w:bCs/>
        </w:rPr>
        <w:t>表</w:t>
      </w:r>
      <w:r>
        <w:rPr>
          <w:rFonts w:hint="eastAsia" w:ascii="黑体" w:hAnsi="黑体" w:eastAsia="黑体"/>
          <w:bCs/>
        </w:rPr>
        <w:t>D</w:t>
      </w:r>
      <w:r>
        <w:rPr>
          <w:rFonts w:ascii="黑体" w:hAnsi="黑体" w:eastAsia="黑体"/>
          <w:bCs/>
        </w:rPr>
        <w:t>.1  帮扶清单</w:t>
      </w:r>
      <w:r>
        <w:rPr>
          <w:rFonts w:hint="eastAsia" w:ascii="宋体" w:hAnsi="宋体"/>
          <w:bCs/>
        </w:rPr>
        <w:t>(续</w:t>
      </w:r>
      <w:r>
        <w:rPr>
          <w:rFonts w:ascii="宋体" w:hAnsi="宋体"/>
          <w:bCs/>
        </w:rPr>
        <w:t>)</w:t>
      </w:r>
    </w:p>
    <w:tbl>
      <w:tblPr>
        <w:tblStyle w:val="29"/>
        <w:tblW w:w="95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1"/>
        <w:gridCol w:w="696"/>
        <w:gridCol w:w="988"/>
        <w:gridCol w:w="1468"/>
        <w:gridCol w:w="738"/>
        <w:gridCol w:w="637"/>
        <w:gridCol w:w="580"/>
        <w:gridCol w:w="1137"/>
        <w:gridCol w:w="914"/>
        <w:gridCol w:w="1357"/>
        <w:gridCol w:w="634"/>
      </w:tblGrid>
      <w:tr w14:paraId="1D63B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2105" w:type="dxa"/>
            <w:gridSpan w:val="3"/>
            <w:tcBorders>
              <w:top w:val="single" w:color="000000" w:sz="8" w:space="0"/>
              <w:left w:val="single" w:color="000000" w:sz="8" w:space="0"/>
              <w:bottom w:val="single" w:color="000000" w:sz="8" w:space="0"/>
              <w:right w:val="single" w:color="000000" w:sz="4" w:space="0"/>
            </w:tcBorders>
            <w:shd w:val="clear" w:color="auto" w:fill="FFFFFF" w:themeFill="background1"/>
            <w:vAlign w:val="center"/>
          </w:tcPr>
          <w:p w14:paraId="41C15EEB">
            <w:pPr>
              <w:spacing w:line="240" w:lineRule="auto"/>
              <w:jc w:val="left"/>
              <w:rPr>
                <w:bCs/>
                <w:sz w:val="18"/>
                <w:szCs w:val="18"/>
              </w:rPr>
            </w:pPr>
            <w:r>
              <w:rPr>
                <w:rFonts w:hint="eastAsia" w:ascii="宋体" w:hAnsi="宋体"/>
                <w:bCs/>
                <w:sz w:val="18"/>
                <w:szCs w:val="18"/>
              </w:rPr>
              <w:t>帮扶周期</w:t>
            </w:r>
            <w:r>
              <w:rPr>
                <w:rFonts w:ascii="宋体" w:hAnsi="宋体"/>
                <w:bCs/>
                <w:sz w:val="18"/>
                <w:szCs w:val="18"/>
              </w:rPr>
              <w:t>/年度：</w:t>
            </w:r>
          </w:p>
        </w:tc>
        <w:tc>
          <w:tcPr>
            <w:tcW w:w="2843" w:type="dxa"/>
            <w:gridSpan w:val="3"/>
            <w:tcBorders>
              <w:top w:val="single" w:color="000000" w:sz="8" w:space="0"/>
              <w:left w:val="single" w:color="000000" w:sz="4" w:space="0"/>
              <w:bottom w:val="single" w:color="000000" w:sz="8" w:space="0"/>
              <w:right w:val="single" w:color="000000" w:sz="4" w:space="0"/>
            </w:tcBorders>
            <w:shd w:val="clear" w:color="auto" w:fill="FFFFFF" w:themeFill="background1"/>
            <w:vAlign w:val="center"/>
          </w:tcPr>
          <w:p w14:paraId="32632574">
            <w:pPr>
              <w:spacing w:line="240" w:lineRule="auto"/>
              <w:jc w:val="left"/>
              <w:rPr>
                <w:bCs/>
                <w:sz w:val="18"/>
                <w:szCs w:val="18"/>
              </w:rPr>
            </w:pPr>
            <w:r>
              <w:rPr>
                <w:rFonts w:hint="eastAsia" w:ascii="宋体" w:hAnsi="宋体"/>
                <w:bCs/>
                <w:sz w:val="18"/>
                <w:szCs w:val="18"/>
              </w:rPr>
              <w:t>主管监管部门：</w:t>
            </w:r>
          </w:p>
        </w:tc>
        <w:tc>
          <w:tcPr>
            <w:tcW w:w="1717" w:type="dxa"/>
            <w:gridSpan w:val="2"/>
            <w:tcBorders>
              <w:top w:val="single" w:color="000000" w:sz="8" w:space="0"/>
              <w:left w:val="single" w:color="000000" w:sz="4" w:space="0"/>
              <w:bottom w:val="single" w:color="000000" w:sz="8" w:space="0"/>
              <w:right w:val="single" w:color="000000" w:sz="4" w:space="0"/>
            </w:tcBorders>
            <w:shd w:val="clear" w:color="auto" w:fill="FFFFFF" w:themeFill="background1"/>
            <w:vAlign w:val="center"/>
          </w:tcPr>
          <w:p w14:paraId="20A0A2F1">
            <w:pPr>
              <w:spacing w:line="240" w:lineRule="auto"/>
              <w:jc w:val="left"/>
              <w:rPr>
                <w:bCs/>
                <w:sz w:val="18"/>
                <w:szCs w:val="18"/>
              </w:rPr>
            </w:pPr>
            <w:r>
              <w:rPr>
                <w:rFonts w:hint="eastAsia" w:ascii="宋体" w:hAnsi="宋体"/>
                <w:bCs/>
                <w:sz w:val="18"/>
                <w:szCs w:val="18"/>
              </w:rPr>
              <w:t>编制机构：</w:t>
            </w:r>
          </w:p>
        </w:tc>
        <w:tc>
          <w:tcPr>
            <w:tcW w:w="2271" w:type="dxa"/>
            <w:gridSpan w:val="2"/>
            <w:tcBorders>
              <w:top w:val="single" w:color="000000" w:sz="8" w:space="0"/>
              <w:left w:val="single" w:color="000000" w:sz="4" w:space="0"/>
              <w:bottom w:val="single" w:color="000000" w:sz="8" w:space="0"/>
              <w:right w:val="single" w:color="000000" w:sz="4" w:space="0"/>
            </w:tcBorders>
            <w:shd w:val="clear" w:color="auto" w:fill="FFFFFF" w:themeFill="background1"/>
            <w:vAlign w:val="center"/>
          </w:tcPr>
          <w:p w14:paraId="4D97BC2F">
            <w:pPr>
              <w:spacing w:line="240" w:lineRule="auto"/>
              <w:jc w:val="left"/>
              <w:rPr>
                <w:bCs/>
                <w:sz w:val="18"/>
                <w:szCs w:val="18"/>
              </w:rPr>
            </w:pPr>
            <w:r>
              <w:rPr>
                <w:rFonts w:hint="eastAsia" w:ascii="宋体" w:hAnsi="宋体"/>
                <w:bCs/>
                <w:sz w:val="18"/>
                <w:szCs w:val="18"/>
              </w:rPr>
              <w:t>编制日期：</w:t>
            </w:r>
          </w:p>
        </w:tc>
        <w:tc>
          <w:tcPr>
            <w:tcW w:w="634" w:type="dxa"/>
            <w:tcBorders>
              <w:top w:val="single" w:color="000000" w:sz="8" w:space="0"/>
              <w:left w:val="single" w:color="000000" w:sz="4" w:space="0"/>
              <w:bottom w:val="single" w:color="000000" w:sz="8" w:space="0"/>
              <w:right w:val="single" w:color="000000" w:sz="8" w:space="0"/>
            </w:tcBorders>
            <w:shd w:val="clear" w:color="auto" w:fill="FFFFFF" w:themeFill="background1"/>
            <w:vAlign w:val="center"/>
          </w:tcPr>
          <w:p w14:paraId="511B3F99">
            <w:pPr>
              <w:spacing w:line="240" w:lineRule="auto"/>
              <w:jc w:val="left"/>
              <w:rPr>
                <w:bCs/>
                <w:sz w:val="18"/>
                <w:szCs w:val="18"/>
              </w:rPr>
            </w:pPr>
            <w:r>
              <w:rPr>
                <w:rFonts w:hint="eastAsia" w:ascii="宋体" w:hAnsi="宋体"/>
                <w:bCs/>
                <w:sz w:val="18"/>
                <w:szCs w:val="18"/>
              </w:rPr>
              <w:t>清单编号：</w:t>
            </w:r>
          </w:p>
        </w:tc>
      </w:tr>
      <w:tr w14:paraId="0E8A4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421" w:type="dxa"/>
            <w:tcBorders>
              <w:top w:val="single" w:color="000000" w:sz="8" w:space="0"/>
              <w:left w:val="single" w:color="000000" w:sz="8" w:space="0"/>
              <w:bottom w:val="single" w:color="000000" w:sz="4" w:space="0"/>
              <w:right w:val="single" w:color="000000" w:sz="4" w:space="0"/>
            </w:tcBorders>
            <w:shd w:val="clear" w:color="auto" w:fill="FFFFFF" w:themeFill="background1"/>
            <w:vAlign w:val="center"/>
          </w:tcPr>
          <w:p w14:paraId="15C9C92C">
            <w:pPr>
              <w:spacing w:line="240" w:lineRule="auto"/>
              <w:jc w:val="left"/>
              <w:rPr>
                <w:rFonts w:ascii="宋体" w:hAnsi="宋体"/>
                <w:bCs/>
                <w:sz w:val="18"/>
              </w:rPr>
            </w:pPr>
            <w:r>
              <w:rPr>
                <w:rFonts w:hint="eastAsia" w:ascii="宋体" w:hAnsi="宋体"/>
                <w:bCs/>
                <w:sz w:val="18"/>
              </w:rPr>
              <w:t>10</w:t>
            </w:r>
          </w:p>
        </w:tc>
        <w:tc>
          <w:tcPr>
            <w:tcW w:w="696" w:type="dxa"/>
            <w:tcBorders>
              <w:top w:val="single" w:color="000000" w:sz="8" w:space="0"/>
              <w:left w:val="single" w:color="000000" w:sz="4" w:space="0"/>
              <w:bottom w:val="single" w:color="000000" w:sz="4" w:space="0"/>
              <w:right w:val="single" w:color="000000" w:sz="4" w:space="0"/>
            </w:tcBorders>
            <w:shd w:val="clear" w:color="auto" w:fill="FFFFFF" w:themeFill="background1"/>
            <w:vAlign w:val="center"/>
          </w:tcPr>
          <w:p w14:paraId="793767E9">
            <w:pPr>
              <w:spacing w:line="240" w:lineRule="auto"/>
              <w:jc w:val="left"/>
              <w:rPr>
                <w:rFonts w:ascii="宋体" w:hAnsi="宋体"/>
                <w:bCs/>
                <w:sz w:val="18"/>
              </w:rPr>
            </w:pPr>
            <w:r>
              <w:rPr>
                <w:rFonts w:hint="eastAsia" w:ascii="宋体" w:hAnsi="宋体"/>
                <w:bCs/>
                <w:sz w:val="18"/>
              </w:rPr>
              <w:t>技术攻关类</w:t>
            </w:r>
          </w:p>
        </w:tc>
        <w:tc>
          <w:tcPr>
            <w:tcW w:w="988" w:type="dxa"/>
            <w:tcBorders>
              <w:top w:val="single" w:color="000000" w:sz="8" w:space="0"/>
              <w:left w:val="single" w:color="000000" w:sz="4" w:space="0"/>
              <w:bottom w:val="single" w:color="000000" w:sz="4" w:space="0"/>
              <w:right w:val="single" w:color="000000" w:sz="4" w:space="0"/>
            </w:tcBorders>
            <w:shd w:val="clear" w:color="auto" w:fill="FFFFFF" w:themeFill="background1"/>
            <w:vAlign w:val="center"/>
          </w:tcPr>
          <w:p w14:paraId="5D9A480F">
            <w:pPr>
              <w:spacing w:line="240" w:lineRule="auto"/>
              <w:jc w:val="left"/>
              <w:rPr>
                <w:rFonts w:ascii="宋体" w:hAnsi="宋体"/>
                <w:bCs/>
                <w:sz w:val="18"/>
              </w:rPr>
            </w:pPr>
            <w:r>
              <w:rPr>
                <w:rFonts w:hint="eastAsia" w:ascii="宋体" w:hAnsi="宋体"/>
                <w:bCs/>
                <w:sz w:val="18"/>
              </w:rPr>
              <w:t>产品存在系统性质量缺陷</w:t>
            </w:r>
            <w:r>
              <w:rPr>
                <w:rFonts w:hint="eastAsia" w:ascii="宋体" w:hAnsi="宋体"/>
                <w:bCs/>
                <w:sz w:val="18"/>
              </w:rPr>
              <w:br w:type="textWrapping"/>
            </w:r>
            <w:r>
              <w:rPr>
                <w:rFonts w:hint="eastAsia" w:ascii="宋体" w:hAnsi="宋体"/>
                <w:bCs/>
                <w:sz w:val="18"/>
              </w:rPr>
              <w:t>共性技术瓶颈难以自行突破</w:t>
            </w:r>
          </w:p>
        </w:tc>
        <w:tc>
          <w:tcPr>
            <w:tcW w:w="1468" w:type="dxa"/>
            <w:tcBorders>
              <w:top w:val="single" w:color="000000" w:sz="8" w:space="0"/>
              <w:left w:val="single" w:color="000000" w:sz="4" w:space="0"/>
              <w:bottom w:val="single" w:color="000000" w:sz="4" w:space="0"/>
              <w:right w:val="single" w:color="000000" w:sz="4" w:space="0"/>
            </w:tcBorders>
            <w:shd w:val="clear" w:color="auto" w:fill="FFFFFF" w:themeFill="background1"/>
            <w:vAlign w:val="center"/>
          </w:tcPr>
          <w:p w14:paraId="02CB4F61">
            <w:pPr>
              <w:spacing w:line="240" w:lineRule="auto"/>
              <w:jc w:val="left"/>
              <w:rPr>
                <w:rFonts w:ascii="宋体" w:hAnsi="宋体"/>
                <w:bCs/>
                <w:sz w:val="18"/>
              </w:rPr>
            </w:pPr>
            <w:r>
              <w:rPr>
                <w:rFonts w:hint="eastAsia" w:ascii="宋体" w:hAnsi="宋体"/>
                <w:bCs/>
                <w:sz w:val="18"/>
              </w:rPr>
              <w:t>汇聚高校、科研院所、检测机构等多方资源，针对行业共性质量技术问题开展联合攻关，形成改进方案并推广应用</w:t>
            </w:r>
          </w:p>
        </w:tc>
        <w:tc>
          <w:tcPr>
            <w:tcW w:w="738" w:type="dxa"/>
            <w:tcBorders>
              <w:top w:val="single" w:color="000000" w:sz="8" w:space="0"/>
              <w:left w:val="single" w:color="000000" w:sz="4" w:space="0"/>
              <w:bottom w:val="single" w:color="000000" w:sz="4" w:space="0"/>
              <w:right w:val="single" w:color="000000" w:sz="4" w:space="0"/>
            </w:tcBorders>
            <w:shd w:val="clear" w:color="auto" w:fill="FFFFFF" w:themeFill="background1"/>
            <w:vAlign w:val="center"/>
          </w:tcPr>
          <w:p w14:paraId="4CB0ED3E">
            <w:pPr>
              <w:spacing w:line="240" w:lineRule="auto"/>
              <w:jc w:val="left"/>
              <w:rPr>
                <w:rFonts w:ascii="宋体" w:hAnsi="宋体"/>
                <w:bCs/>
                <w:sz w:val="18"/>
              </w:rPr>
            </w:pPr>
            <w:r>
              <w:rPr>
                <w:rFonts w:hint="eastAsia" w:ascii="宋体" w:hAnsi="宋体"/>
                <w:bCs/>
                <w:sz w:val="18"/>
              </w:rPr>
              <w:t>XX大学/科研院所</w:t>
            </w:r>
            <w:r>
              <w:rPr>
                <w:rFonts w:hint="eastAsia" w:ascii="宋体" w:hAnsi="宋体"/>
                <w:bCs/>
                <w:sz w:val="18"/>
              </w:rPr>
              <w:br w:type="textWrapping"/>
            </w:r>
            <w:r>
              <w:rPr>
                <w:rFonts w:hint="eastAsia" w:ascii="宋体" w:hAnsi="宋体"/>
                <w:bCs/>
                <w:sz w:val="18"/>
              </w:rPr>
              <w:t>（产学研联合团队）</w:t>
            </w:r>
          </w:p>
        </w:tc>
        <w:tc>
          <w:tcPr>
            <w:tcW w:w="637" w:type="dxa"/>
            <w:tcBorders>
              <w:top w:val="single" w:color="000000" w:sz="8" w:space="0"/>
              <w:left w:val="single" w:color="000000" w:sz="4" w:space="0"/>
              <w:bottom w:val="single" w:color="000000" w:sz="4" w:space="0"/>
              <w:right w:val="single" w:color="000000" w:sz="4" w:space="0"/>
            </w:tcBorders>
            <w:shd w:val="clear" w:color="auto" w:fill="FFFFFF" w:themeFill="background1"/>
            <w:vAlign w:val="center"/>
          </w:tcPr>
          <w:p w14:paraId="3A8A356C">
            <w:pPr>
              <w:spacing w:line="240" w:lineRule="auto"/>
              <w:jc w:val="left"/>
              <w:rPr>
                <w:rFonts w:ascii="宋体" w:hAnsi="宋体"/>
                <w:bCs/>
                <w:sz w:val="18"/>
              </w:rPr>
            </w:pPr>
            <w:r>
              <w:rPr>
                <w:rFonts w:hint="eastAsia" w:ascii="宋体" w:hAnsi="宋体"/>
                <w:bCs/>
                <w:sz w:val="18"/>
              </w:rPr>
              <w:t>5家</w:t>
            </w:r>
          </w:p>
        </w:tc>
        <w:tc>
          <w:tcPr>
            <w:tcW w:w="580" w:type="dxa"/>
            <w:tcBorders>
              <w:top w:val="single" w:color="000000" w:sz="8" w:space="0"/>
              <w:left w:val="single" w:color="000000" w:sz="4" w:space="0"/>
              <w:bottom w:val="single" w:color="000000" w:sz="4" w:space="0"/>
              <w:right w:val="single" w:color="000000" w:sz="4" w:space="0"/>
            </w:tcBorders>
            <w:shd w:val="clear" w:color="auto" w:fill="FFFFFF" w:themeFill="background1"/>
            <w:vAlign w:val="center"/>
          </w:tcPr>
          <w:p w14:paraId="63304F2B">
            <w:pPr>
              <w:spacing w:line="240" w:lineRule="auto"/>
              <w:jc w:val="left"/>
              <w:rPr>
                <w:rFonts w:ascii="宋体" w:hAnsi="宋体"/>
                <w:bCs/>
                <w:sz w:val="18"/>
              </w:rPr>
            </w:pPr>
            <w:r>
              <w:rPr>
                <w:rFonts w:hint="eastAsia" w:ascii="宋体" w:hAnsi="宋体"/>
                <w:bCs/>
                <w:sz w:val="18"/>
              </w:rPr>
              <w:t>20XX年X月—</w:t>
            </w:r>
            <w:r>
              <w:rPr>
                <w:rFonts w:hint="eastAsia" w:ascii="宋体" w:hAnsi="宋体"/>
                <w:bCs/>
                <w:sz w:val="18"/>
              </w:rPr>
              <w:br w:type="textWrapping"/>
            </w:r>
            <w:r>
              <w:rPr>
                <w:rFonts w:hint="eastAsia" w:ascii="宋体" w:hAnsi="宋体"/>
                <w:bCs/>
                <w:sz w:val="18"/>
              </w:rPr>
              <w:t>20XX年X月</w:t>
            </w:r>
          </w:p>
        </w:tc>
        <w:tc>
          <w:tcPr>
            <w:tcW w:w="1137" w:type="dxa"/>
            <w:tcBorders>
              <w:top w:val="single" w:color="000000" w:sz="8" w:space="0"/>
              <w:left w:val="single" w:color="000000" w:sz="4" w:space="0"/>
              <w:bottom w:val="single" w:color="000000" w:sz="4" w:space="0"/>
              <w:right w:val="single" w:color="000000" w:sz="4" w:space="0"/>
            </w:tcBorders>
            <w:shd w:val="clear" w:color="auto" w:fill="FFFFFF" w:themeFill="background1"/>
            <w:vAlign w:val="center"/>
          </w:tcPr>
          <w:p w14:paraId="4F5A03C8">
            <w:pPr>
              <w:spacing w:line="240" w:lineRule="auto"/>
              <w:jc w:val="left"/>
              <w:rPr>
                <w:rFonts w:ascii="宋体" w:hAnsi="宋体"/>
                <w:bCs/>
                <w:sz w:val="18"/>
              </w:rPr>
            </w:pPr>
            <w:r>
              <w:rPr>
                <w:rFonts w:hint="eastAsia" w:ascii="宋体" w:hAnsi="宋体"/>
                <w:bCs/>
                <w:sz w:val="18"/>
              </w:rPr>
              <w:t>共性技术方案提出率100%；至少1项技术成果形成可推广方案；参与企业产品核心指标不合格率降低≥40%</w:t>
            </w:r>
          </w:p>
        </w:tc>
        <w:tc>
          <w:tcPr>
            <w:tcW w:w="914" w:type="dxa"/>
            <w:tcBorders>
              <w:top w:val="single" w:color="000000" w:sz="8" w:space="0"/>
              <w:left w:val="single" w:color="000000" w:sz="4" w:space="0"/>
              <w:bottom w:val="single" w:color="000000" w:sz="4" w:space="0"/>
              <w:right w:val="single" w:color="000000" w:sz="4" w:space="0"/>
            </w:tcBorders>
            <w:shd w:val="clear" w:color="auto" w:fill="FFFFFF" w:themeFill="background1"/>
            <w:vAlign w:val="center"/>
          </w:tcPr>
          <w:p w14:paraId="4B4FDD5B">
            <w:pPr>
              <w:spacing w:line="240" w:lineRule="auto"/>
              <w:jc w:val="left"/>
              <w:rPr>
                <w:rFonts w:ascii="宋体" w:hAnsi="宋体"/>
                <w:bCs/>
                <w:sz w:val="18"/>
              </w:rPr>
            </w:pPr>
            <w:r>
              <w:rPr>
                <w:rFonts w:hint="eastAsia" w:ascii="宋体" w:hAnsi="宋体"/>
                <w:bCs/>
                <w:sz w:val="18"/>
              </w:rPr>
              <w:t>技术方案评审；试验数据核查；产品检测对比</w:t>
            </w:r>
          </w:p>
        </w:tc>
        <w:tc>
          <w:tcPr>
            <w:tcW w:w="1357" w:type="dxa"/>
            <w:tcBorders>
              <w:top w:val="single" w:color="000000" w:sz="8" w:space="0"/>
              <w:left w:val="single" w:color="000000" w:sz="4" w:space="0"/>
              <w:bottom w:val="single" w:color="000000" w:sz="4" w:space="0"/>
              <w:right w:val="single" w:color="000000" w:sz="4" w:space="0"/>
            </w:tcBorders>
            <w:shd w:val="clear" w:color="auto" w:fill="FFFFFF" w:themeFill="background1"/>
            <w:vAlign w:val="center"/>
          </w:tcPr>
          <w:p w14:paraId="51EBD3C2">
            <w:pPr>
              <w:spacing w:line="240" w:lineRule="auto"/>
              <w:jc w:val="left"/>
              <w:rPr>
                <w:rFonts w:ascii="宋体" w:hAnsi="宋体"/>
                <w:bCs/>
                <w:sz w:val="18"/>
              </w:rPr>
            </w:pPr>
            <w:r>
              <w:rPr>
                <w:rFonts w:hint="eastAsia" w:ascii="宋体" w:hAnsi="宋体"/>
                <w:bCs/>
                <w:sz w:val="18"/>
              </w:rPr>
              <w:t>市市场监管局</w:t>
            </w:r>
            <w:r>
              <w:rPr>
                <w:rFonts w:hint="eastAsia" w:ascii="宋体" w:hAnsi="宋体"/>
                <w:bCs/>
                <w:sz w:val="18"/>
              </w:rPr>
              <w:br w:type="textWrapping"/>
            </w:r>
            <w:r>
              <w:rPr>
                <w:rFonts w:hint="eastAsia" w:ascii="宋体" w:hAnsi="宋体"/>
                <w:bCs/>
                <w:sz w:val="18"/>
              </w:rPr>
              <w:t>质量发展科</w:t>
            </w:r>
          </w:p>
        </w:tc>
        <w:tc>
          <w:tcPr>
            <w:tcW w:w="634" w:type="dxa"/>
            <w:tcBorders>
              <w:top w:val="single" w:color="000000" w:sz="8" w:space="0"/>
              <w:left w:val="single" w:color="000000" w:sz="4" w:space="0"/>
              <w:bottom w:val="single" w:color="000000" w:sz="4" w:space="0"/>
              <w:right w:val="single" w:color="000000" w:sz="8" w:space="0"/>
            </w:tcBorders>
            <w:shd w:val="clear" w:color="auto" w:fill="FFFFFF" w:themeFill="background1"/>
            <w:vAlign w:val="center"/>
          </w:tcPr>
          <w:p w14:paraId="5F27A24D">
            <w:pPr>
              <w:spacing w:line="240" w:lineRule="auto"/>
              <w:jc w:val="left"/>
              <w:rPr>
                <w:rFonts w:ascii="宋体" w:hAnsi="宋体"/>
                <w:bCs/>
                <w:sz w:val="18"/>
              </w:rPr>
            </w:pPr>
          </w:p>
        </w:tc>
      </w:tr>
      <w:tr w14:paraId="18EA3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421" w:type="dxa"/>
            <w:tcBorders>
              <w:top w:val="single" w:color="000000" w:sz="4" w:space="0"/>
              <w:left w:val="single" w:color="000000" w:sz="8" w:space="0"/>
              <w:bottom w:val="single" w:color="000000" w:sz="4" w:space="0"/>
              <w:right w:val="single" w:color="000000" w:sz="4" w:space="0"/>
            </w:tcBorders>
            <w:shd w:val="clear" w:color="auto" w:fill="FFFFFF" w:themeFill="background1"/>
            <w:vAlign w:val="center"/>
          </w:tcPr>
          <w:p w14:paraId="691BBE9A">
            <w:pPr>
              <w:spacing w:line="240" w:lineRule="auto"/>
              <w:jc w:val="left"/>
              <w:rPr>
                <w:rFonts w:ascii="宋体" w:hAnsi="宋体"/>
                <w:bCs/>
                <w:sz w:val="18"/>
              </w:rPr>
            </w:pPr>
            <w:r>
              <w:rPr>
                <w:rFonts w:hint="eastAsia" w:ascii="宋体" w:hAnsi="宋体"/>
                <w:bCs/>
                <w:sz w:val="18"/>
              </w:rPr>
              <w:t>11</w:t>
            </w:r>
          </w:p>
        </w:tc>
        <w:tc>
          <w:tcPr>
            <w:tcW w:w="6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6C0CBC">
            <w:pPr>
              <w:spacing w:line="240" w:lineRule="auto"/>
              <w:jc w:val="left"/>
              <w:rPr>
                <w:rFonts w:ascii="宋体" w:hAnsi="宋体"/>
                <w:bCs/>
                <w:sz w:val="18"/>
              </w:rPr>
            </w:pPr>
            <w:r>
              <w:rPr>
                <w:rFonts w:hint="eastAsia" w:ascii="宋体" w:hAnsi="宋体"/>
                <w:bCs/>
                <w:sz w:val="18"/>
              </w:rPr>
              <w:t>信息对接类</w:t>
            </w:r>
            <w:r>
              <w:rPr>
                <w:rFonts w:hint="eastAsia" w:ascii="宋体" w:hAnsi="宋体"/>
                <w:bCs/>
                <w:sz w:val="18"/>
              </w:rPr>
              <w:br w:type="textWrapping"/>
            </w:r>
            <w:r>
              <w:rPr>
                <w:rFonts w:hint="eastAsia" w:ascii="宋体" w:hAnsi="宋体"/>
                <w:bCs/>
                <w:sz w:val="18"/>
              </w:rPr>
              <w:t>（质量数据共享）</w:t>
            </w:r>
          </w:p>
        </w:tc>
        <w:tc>
          <w:tcPr>
            <w:tcW w:w="9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316CA1">
            <w:pPr>
              <w:spacing w:line="240" w:lineRule="auto"/>
              <w:jc w:val="left"/>
              <w:rPr>
                <w:rFonts w:ascii="宋体" w:hAnsi="宋体"/>
                <w:bCs/>
                <w:sz w:val="18"/>
              </w:rPr>
            </w:pPr>
            <w:r>
              <w:rPr>
                <w:rFonts w:hint="eastAsia" w:ascii="宋体" w:hAnsi="宋体"/>
                <w:bCs/>
                <w:sz w:val="18"/>
              </w:rPr>
              <w:t>监管与帮扶信息割裂</w:t>
            </w:r>
            <w:r>
              <w:rPr>
                <w:rFonts w:hint="eastAsia" w:ascii="宋体" w:hAnsi="宋体"/>
                <w:bCs/>
                <w:sz w:val="18"/>
              </w:rPr>
              <w:br w:type="textWrapping"/>
            </w:r>
            <w:r>
              <w:rPr>
                <w:rFonts w:hint="eastAsia" w:ascii="宋体" w:hAnsi="宋体"/>
                <w:bCs/>
                <w:sz w:val="18"/>
              </w:rPr>
              <w:t>监督抽查问题未及时传导至帮扶环节</w:t>
            </w:r>
          </w:p>
        </w:tc>
        <w:tc>
          <w:tcPr>
            <w:tcW w:w="146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211848">
            <w:pPr>
              <w:spacing w:line="240" w:lineRule="auto"/>
              <w:jc w:val="left"/>
              <w:rPr>
                <w:rFonts w:ascii="宋体" w:hAnsi="宋体"/>
                <w:bCs/>
                <w:sz w:val="18"/>
              </w:rPr>
            </w:pPr>
            <w:r>
              <w:rPr>
                <w:rFonts w:hint="eastAsia" w:ascii="宋体" w:hAnsi="宋体"/>
                <w:bCs/>
                <w:sz w:val="18"/>
              </w:rPr>
              <w:t>建立监管部门与帮扶机构的质量信息定期共享机制，定期推送监督抽查不合格名单、投诉举报高发问题、风险预警信息</w:t>
            </w:r>
          </w:p>
        </w:tc>
        <w:tc>
          <w:tcPr>
            <w:tcW w:w="7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AD5A0C">
            <w:pPr>
              <w:spacing w:line="240" w:lineRule="auto"/>
              <w:jc w:val="left"/>
              <w:rPr>
                <w:rFonts w:ascii="宋体" w:hAnsi="宋体"/>
                <w:bCs/>
                <w:sz w:val="18"/>
              </w:rPr>
            </w:pPr>
            <w:r>
              <w:rPr>
                <w:rFonts w:hint="eastAsia" w:ascii="宋体" w:hAnsi="宋体"/>
                <w:bCs/>
                <w:sz w:val="18"/>
              </w:rPr>
              <w:t>监管部门信息科</w:t>
            </w:r>
            <w:r>
              <w:rPr>
                <w:rFonts w:hint="eastAsia" w:ascii="宋体" w:hAnsi="宋体"/>
                <w:bCs/>
                <w:sz w:val="18"/>
              </w:rPr>
              <w:br w:type="textWrapping"/>
            </w:r>
            <w:r>
              <w:rPr>
                <w:rFonts w:hint="eastAsia" w:ascii="宋体" w:hAnsi="宋体"/>
                <w:bCs/>
                <w:sz w:val="18"/>
              </w:rPr>
              <w:t>＋XX帮扶机构</w:t>
            </w:r>
            <w:r>
              <w:rPr>
                <w:rFonts w:hint="eastAsia" w:ascii="宋体" w:hAnsi="宋体"/>
                <w:bCs/>
                <w:sz w:val="18"/>
              </w:rPr>
              <w:br w:type="textWrapping"/>
            </w:r>
            <w:r>
              <w:rPr>
                <w:rFonts w:hint="eastAsia" w:ascii="宋体" w:hAnsi="宋体"/>
                <w:bCs/>
                <w:sz w:val="18"/>
              </w:rPr>
              <w:t>（协同运行）</w:t>
            </w:r>
          </w:p>
        </w:tc>
        <w:tc>
          <w:tcPr>
            <w:tcW w:w="6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645AAC">
            <w:pPr>
              <w:spacing w:line="240" w:lineRule="auto"/>
              <w:jc w:val="left"/>
              <w:rPr>
                <w:rFonts w:ascii="宋体" w:hAnsi="宋体"/>
                <w:bCs/>
                <w:sz w:val="18"/>
              </w:rPr>
            </w:pPr>
            <w:r>
              <w:rPr>
                <w:rFonts w:hint="eastAsia" w:ascii="宋体" w:hAnsi="宋体"/>
                <w:bCs/>
                <w:sz w:val="18"/>
              </w:rPr>
              <w:t>全部在档企业</w:t>
            </w:r>
          </w:p>
        </w:tc>
        <w:tc>
          <w:tcPr>
            <w:tcW w:w="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F749EF">
            <w:pPr>
              <w:spacing w:line="240" w:lineRule="auto"/>
              <w:jc w:val="left"/>
              <w:rPr>
                <w:rFonts w:ascii="宋体" w:hAnsi="宋体"/>
                <w:bCs/>
                <w:sz w:val="18"/>
              </w:rPr>
            </w:pPr>
            <w:r>
              <w:rPr>
                <w:rFonts w:hint="eastAsia" w:ascii="宋体" w:hAnsi="宋体"/>
                <w:bCs/>
                <w:sz w:val="18"/>
              </w:rPr>
              <w:t>20XX年全年</w:t>
            </w:r>
            <w:r>
              <w:rPr>
                <w:rFonts w:hint="eastAsia" w:ascii="宋体" w:hAnsi="宋体"/>
                <w:bCs/>
                <w:sz w:val="18"/>
              </w:rPr>
              <w:br w:type="textWrapping"/>
            </w:r>
            <w:r>
              <w:rPr>
                <w:rFonts w:hint="eastAsia" w:ascii="宋体" w:hAnsi="宋体"/>
                <w:bCs/>
                <w:sz w:val="18"/>
              </w:rPr>
              <w:t>（按季度）</w:t>
            </w:r>
          </w:p>
        </w:tc>
        <w:tc>
          <w:tcPr>
            <w:tcW w:w="11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DC1A50">
            <w:pPr>
              <w:spacing w:line="240" w:lineRule="auto"/>
              <w:jc w:val="left"/>
              <w:rPr>
                <w:rFonts w:ascii="宋体" w:hAnsi="宋体"/>
                <w:bCs/>
                <w:sz w:val="18"/>
              </w:rPr>
            </w:pPr>
            <w:r>
              <w:rPr>
                <w:rFonts w:hint="eastAsia" w:ascii="宋体" w:hAnsi="宋体"/>
                <w:bCs/>
                <w:sz w:val="18"/>
              </w:rPr>
              <w:t>质量信息传导及时率≥90%（发现问题到帮扶启动≤15个工作日）；帮扶对象与监管线索匹配率≥85%</w:t>
            </w:r>
          </w:p>
        </w:tc>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EA2349">
            <w:pPr>
              <w:spacing w:line="240" w:lineRule="auto"/>
              <w:jc w:val="left"/>
              <w:rPr>
                <w:rFonts w:ascii="宋体" w:hAnsi="宋体"/>
                <w:bCs/>
                <w:sz w:val="18"/>
              </w:rPr>
            </w:pPr>
            <w:r>
              <w:rPr>
                <w:rFonts w:hint="eastAsia" w:ascii="宋体" w:hAnsi="宋体"/>
                <w:bCs/>
                <w:sz w:val="18"/>
              </w:rPr>
              <w:t>信息推送记录审计；帮扶启动时效核查</w:t>
            </w:r>
          </w:p>
        </w:tc>
        <w:tc>
          <w:tcPr>
            <w:tcW w:w="13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589883">
            <w:pPr>
              <w:spacing w:line="240" w:lineRule="auto"/>
              <w:jc w:val="left"/>
              <w:rPr>
                <w:rFonts w:ascii="宋体" w:hAnsi="宋体"/>
                <w:bCs/>
                <w:sz w:val="18"/>
              </w:rPr>
            </w:pPr>
            <w:r>
              <w:rPr>
                <w:rFonts w:hint="eastAsia" w:ascii="宋体" w:hAnsi="宋体"/>
                <w:bCs/>
                <w:sz w:val="18"/>
              </w:rPr>
              <w:t>市市场监管局</w:t>
            </w:r>
            <w:r>
              <w:rPr>
                <w:rFonts w:hint="eastAsia" w:ascii="宋体" w:hAnsi="宋体"/>
                <w:bCs/>
                <w:sz w:val="18"/>
              </w:rPr>
              <w:br w:type="textWrapping"/>
            </w:r>
            <w:r>
              <w:rPr>
                <w:rFonts w:hint="eastAsia" w:ascii="宋体" w:hAnsi="宋体"/>
                <w:bCs/>
                <w:sz w:val="18"/>
              </w:rPr>
              <w:t>综合协调科</w:t>
            </w:r>
          </w:p>
        </w:tc>
        <w:tc>
          <w:tcPr>
            <w:tcW w:w="634" w:type="dxa"/>
            <w:tcBorders>
              <w:top w:val="single" w:color="000000" w:sz="4" w:space="0"/>
              <w:left w:val="single" w:color="000000" w:sz="4" w:space="0"/>
              <w:bottom w:val="single" w:color="000000" w:sz="4" w:space="0"/>
              <w:right w:val="single" w:color="000000" w:sz="8" w:space="0"/>
            </w:tcBorders>
            <w:shd w:val="clear" w:color="auto" w:fill="FFFFFF" w:themeFill="background1"/>
            <w:vAlign w:val="center"/>
          </w:tcPr>
          <w:p w14:paraId="79DFC735">
            <w:pPr>
              <w:spacing w:line="240" w:lineRule="auto"/>
              <w:jc w:val="left"/>
              <w:rPr>
                <w:rFonts w:ascii="宋体" w:hAnsi="宋体"/>
                <w:bCs/>
                <w:sz w:val="18"/>
              </w:rPr>
            </w:pPr>
          </w:p>
        </w:tc>
      </w:tr>
      <w:tr w14:paraId="01436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jc w:val="center"/>
        </w:trPr>
        <w:tc>
          <w:tcPr>
            <w:tcW w:w="421" w:type="dxa"/>
            <w:tcBorders>
              <w:top w:val="single" w:color="000000" w:sz="4" w:space="0"/>
              <w:left w:val="single" w:color="000000" w:sz="8" w:space="0"/>
              <w:bottom w:val="single" w:color="000000" w:sz="4" w:space="0"/>
              <w:right w:val="single" w:color="000000" w:sz="4" w:space="0"/>
            </w:tcBorders>
            <w:shd w:val="clear" w:color="auto" w:fill="FFFFFF" w:themeFill="background1"/>
            <w:vAlign w:val="center"/>
          </w:tcPr>
          <w:p w14:paraId="6BA2B752">
            <w:pPr>
              <w:spacing w:line="240" w:lineRule="auto"/>
              <w:jc w:val="left"/>
              <w:rPr>
                <w:rFonts w:ascii="宋体" w:hAnsi="宋体"/>
                <w:bCs/>
                <w:sz w:val="18"/>
              </w:rPr>
            </w:pPr>
            <w:r>
              <w:rPr>
                <w:rFonts w:hint="eastAsia" w:ascii="宋体" w:hAnsi="宋体"/>
                <w:bCs/>
                <w:sz w:val="18"/>
              </w:rPr>
              <w:t>12</w:t>
            </w:r>
          </w:p>
        </w:tc>
        <w:tc>
          <w:tcPr>
            <w:tcW w:w="6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5FAC0A">
            <w:pPr>
              <w:spacing w:line="240" w:lineRule="auto"/>
              <w:jc w:val="left"/>
              <w:rPr>
                <w:rFonts w:ascii="宋体" w:hAnsi="宋体"/>
                <w:bCs/>
                <w:sz w:val="18"/>
              </w:rPr>
            </w:pPr>
            <w:r>
              <w:rPr>
                <w:rFonts w:hint="eastAsia" w:ascii="宋体" w:hAnsi="宋体"/>
                <w:bCs/>
                <w:sz w:val="18"/>
              </w:rPr>
              <w:t>跟踪回访类</w:t>
            </w:r>
          </w:p>
        </w:tc>
        <w:tc>
          <w:tcPr>
            <w:tcW w:w="9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57E129">
            <w:pPr>
              <w:spacing w:line="240" w:lineRule="auto"/>
              <w:jc w:val="left"/>
              <w:rPr>
                <w:rFonts w:ascii="宋体" w:hAnsi="宋体"/>
                <w:bCs/>
                <w:sz w:val="18"/>
              </w:rPr>
            </w:pPr>
            <w:r>
              <w:rPr>
                <w:rFonts w:hint="eastAsia" w:ascii="宋体" w:hAnsi="宋体"/>
                <w:bCs/>
                <w:sz w:val="18"/>
              </w:rPr>
              <w:t>帮扶效果未持续跟踪</w:t>
            </w:r>
            <w:r>
              <w:rPr>
                <w:rFonts w:hint="eastAsia" w:ascii="宋体" w:hAnsi="宋体"/>
                <w:bCs/>
                <w:sz w:val="18"/>
              </w:rPr>
              <w:br w:type="textWrapping"/>
            </w:r>
            <w:r>
              <w:rPr>
                <w:rFonts w:hint="eastAsia" w:ascii="宋体" w:hAnsi="宋体"/>
                <w:bCs/>
                <w:sz w:val="18"/>
              </w:rPr>
              <w:t>整改反弹风险未管控</w:t>
            </w:r>
            <w:r>
              <w:rPr>
                <w:rFonts w:hint="eastAsia" w:ascii="宋体" w:hAnsi="宋体"/>
                <w:bCs/>
                <w:sz w:val="18"/>
              </w:rPr>
              <w:br w:type="textWrapping"/>
            </w:r>
            <w:r>
              <w:rPr>
                <w:rFonts w:hint="eastAsia" w:ascii="宋体" w:hAnsi="宋体"/>
                <w:bCs/>
                <w:sz w:val="18"/>
              </w:rPr>
              <w:t>帮扶成效评价缺失</w:t>
            </w:r>
          </w:p>
        </w:tc>
        <w:tc>
          <w:tcPr>
            <w:tcW w:w="146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65C075">
            <w:pPr>
              <w:spacing w:line="240" w:lineRule="auto"/>
              <w:jc w:val="left"/>
              <w:rPr>
                <w:rFonts w:ascii="宋体" w:hAnsi="宋体"/>
                <w:bCs/>
                <w:sz w:val="18"/>
              </w:rPr>
            </w:pPr>
            <w:r>
              <w:rPr>
                <w:rFonts w:hint="eastAsia" w:ascii="宋体" w:hAnsi="宋体"/>
                <w:bCs/>
                <w:sz w:val="18"/>
              </w:rPr>
              <w:t>对已完成帮扶的企业开展帮扶后效果跟踪回访，核查量化目标达成情况，评估整改成果是否持续有效，形成年度效果评价报告</w:t>
            </w:r>
          </w:p>
        </w:tc>
        <w:tc>
          <w:tcPr>
            <w:tcW w:w="7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9504D2">
            <w:pPr>
              <w:spacing w:line="240" w:lineRule="auto"/>
              <w:jc w:val="left"/>
              <w:rPr>
                <w:rFonts w:ascii="宋体" w:hAnsi="宋体"/>
                <w:bCs/>
                <w:sz w:val="18"/>
              </w:rPr>
            </w:pPr>
            <w:r>
              <w:rPr>
                <w:rFonts w:hint="eastAsia" w:ascii="宋体" w:hAnsi="宋体"/>
                <w:bCs/>
                <w:sz w:val="18"/>
              </w:rPr>
              <w:t>XX帮扶机构</w:t>
            </w:r>
            <w:r>
              <w:rPr>
                <w:rFonts w:hint="eastAsia" w:ascii="宋体" w:hAnsi="宋体"/>
                <w:bCs/>
                <w:sz w:val="18"/>
              </w:rPr>
              <w:br w:type="textWrapping"/>
            </w:r>
            <w:r>
              <w:rPr>
                <w:rFonts w:hint="eastAsia" w:ascii="宋体" w:hAnsi="宋体"/>
                <w:bCs/>
                <w:sz w:val="18"/>
              </w:rPr>
              <w:t>（回访小组）</w:t>
            </w:r>
          </w:p>
        </w:tc>
        <w:tc>
          <w:tcPr>
            <w:tcW w:w="6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E6CE98">
            <w:pPr>
              <w:spacing w:line="240" w:lineRule="auto"/>
              <w:jc w:val="left"/>
              <w:rPr>
                <w:rFonts w:ascii="宋体" w:hAnsi="宋体"/>
                <w:bCs/>
                <w:sz w:val="18"/>
              </w:rPr>
            </w:pPr>
            <w:r>
              <w:rPr>
                <w:rFonts w:hint="eastAsia" w:ascii="宋体" w:hAnsi="宋体"/>
                <w:bCs/>
                <w:sz w:val="18"/>
              </w:rPr>
              <w:t>全年帮扶企业</w:t>
            </w:r>
          </w:p>
        </w:tc>
        <w:tc>
          <w:tcPr>
            <w:tcW w:w="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90830B">
            <w:pPr>
              <w:spacing w:line="240" w:lineRule="auto"/>
              <w:jc w:val="left"/>
              <w:rPr>
                <w:rFonts w:ascii="宋体" w:hAnsi="宋体"/>
                <w:bCs/>
                <w:sz w:val="18"/>
              </w:rPr>
            </w:pPr>
            <w:r>
              <w:rPr>
                <w:rFonts w:hint="eastAsia" w:ascii="宋体" w:hAnsi="宋体"/>
                <w:bCs/>
                <w:sz w:val="18"/>
              </w:rPr>
              <w:t>20XX年X月—</w:t>
            </w:r>
            <w:r>
              <w:rPr>
                <w:rFonts w:hint="eastAsia" w:ascii="宋体" w:hAnsi="宋体"/>
                <w:bCs/>
                <w:sz w:val="18"/>
              </w:rPr>
              <w:br w:type="textWrapping"/>
            </w:r>
            <w:r>
              <w:rPr>
                <w:rFonts w:hint="eastAsia" w:ascii="宋体" w:hAnsi="宋体"/>
                <w:bCs/>
                <w:sz w:val="18"/>
              </w:rPr>
              <w:t>20XX年X月</w:t>
            </w:r>
            <w:r>
              <w:rPr>
                <w:rFonts w:hint="eastAsia" w:ascii="宋体" w:hAnsi="宋体"/>
                <w:bCs/>
                <w:sz w:val="18"/>
              </w:rPr>
              <w:br w:type="textWrapping"/>
            </w:r>
            <w:r>
              <w:rPr>
                <w:rFonts w:hint="eastAsia" w:ascii="宋体" w:hAnsi="宋体"/>
                <w:bCs/>
                <w:sz w:val="18"/>
              </w:rPr>
              <w:t>（帮扶结束后3个月内）</w:t>
            </w:r>
          </w:p>
        </w:tc>
        <w:tc>
          <w:tcPr>
            <w:tcW w:w="11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00376E">
            <w:pPr>
              <w:spacing w:line="240" w:lineRule="auto"/>
              <w:jc w:val="left"/>
              <w:rPr>
                <w:rFonts w:ascii="宋体" w:hAnsi="宋体"/>
                <w:bCs/>
                <w:sz w:val="18"/>
              </w:rPr>
            </w:pPr>
            <w:r>
              <w:rPr>
                <w:rFonts w:hint="eastAsia" w:ascii="宋体" w:hAnsi="宋体"/>
                <w:bCs/>
                <w:sz w:val="18"/>
              </w:rPr>
              <w:t>跟踪回访覆盖率100%；量化目标持续达标率≥85%；年度效果评价报告按期提交</w:t>
            </w:r>
          </w:p>
        </w:tc>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5B494E">
            <w:pPr>
              <w:spacing w:line="240" w:lineRule="auto"/>
              <w:jc w:val="left"/>
              <w:rPr>
                <w:rFonts w:ascii="宋体" w:hAnsi="宋体"/>
                <w:bCs/>
                <w:sz w:val="18"/>
              </w:rPr>
            </w:pPr>
            <w:r>
              <w:rPr>
                <w:rFonts w:hint="eastAsia" w:ascii="宋体" w:hAnsi="宋体"/>
                <w:bCs/>
                <w:sz w:val="18"/>
              </w:rPr>
              <w:t>现场回访核查；数据对比；整改台账审核</w:t>
            </w:r>
          </w:p>
        </w:tc>
        <w:tc>
          <w:tcPr>
            <w:tcW w:w="13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182713">
            <w:pPr>
              <w:spacing w:line="240" w:lineRule="auto"/>
              <w:jc w:val="left"/>
              <w:rPr>
                <w:rFonts w:ascii="宋体" w:hAnsi="宋体"/>
                <w:bCs/>
                <w:sz w:val="18"/>
              </w:rPr>
            </w:pPr>
            <w:r>
              <w:rPr>
                <w:rFonts w:hint="eastAsia" w:ascii="宋体" w:hAnsi="宋体"/>
                <w:bCs/>
                <w:sz w:val="18"/>
              </w:rPr>
              <w:t>市市场监管局</w:t>
            </w:r>
            <w:r>
              <w:rPr>
                <w:rFonts w:hint="eastAsia" w:ascii="宋体" w:hAnsi="宋体"/>
                <w:bCs/>
                <w:sz w:val="18"/>
              </w:rPr>
              <w:br w:type="textWrapping"/>
            </w:r>
            <w:r>
              <w:rPr>
                <w:rFonts w:hint="eastAsia" w:ascii="宋体" w:hAnsi="宋体"/>
                <w:bCs/>
                <w:sz w:val="18"/>
              </w:rPr>
              <w:t>质量监管科</w:t>
            </w:r>
          </w:p>
        </w:tc>
        <w:tc>
          <w:tcPr>
            <w:tcW w:w="634" w:type="dxa"/>
            <w:tcBorders>
              <w:top w:val="single" w:color="000000" w:sz="4" w:space="0"/>
              <w:left w:val="single" w:color="000000" w:sz="4" w:space="0"/>
              <w:bottom w:val="single" w:color="000000" w:sz="4" w:space="0"/>
              <w:right w:val="single" w:color="000000" w:sz="8" w:space="0"/>
            </w:tcBorders>
            <w:shd w:val="clear" w:color="auto" w:fill="FFFFFF" w:themeFill="background1"/>
            <w:vAlign w:val="center"/>
          </w:tcPr>
          <w:p w14:paraId="519FF9EA">
            <w:pPr>
              <w:spacing w:line="240" w:lineRule="auto"/>
              <w:jc w:val="left"/>
              <w:rPr>
                <w:rFonts w:ascii="宋体" w:hAnsi="宋体"/>
                <w:bCs/>
                <w:sz w:val="18"/>
              </w:rPr>
            </w:pPr>
          </w:p>
        </w:tc>
      </w:tr>
      <w:tr w14:paraId="52BB3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1" w:type="dxa"/>
            <w:tcBorders>
              <w:top w:val="single" w:color="000000" w:sz="4" w:space="0"/>
              <w:left w:val="single" w:color="000000" w:sz="8" w:space="0"/>
              <w:bottom w:val="single" w:color="000000" w:sz="4" w:space="0"/>
              <w:right w:val="single" w:color="000000" w:sz="4" w:space="0"/>
            </w:tcBorders>
            <w:shd w:val="clear" w:color="auto" w:fill="FFFFFF" w:themeFill="background1"/>
            <w:vAlign w:val="center"/>
          </w:tcPr>
          <w:p w14:paraId="113F53D1">
            <w:pPr>
              <w:spacing w:line="240" w:lineRule="auto"/>
              <w:jc w:val="left"/>
              <w:rPr>
                <w:rFonts w:ascii="宋体" w:hAnsi="宋体"/>
                <w:bCs/>
                <w:sz w:val="18"/>
              </w:rPr>
            </w:pPr>
            <w:r>
              <w:rPr>
                <w:rFonts w:hint="eastAsia" w:ascii="宋体" w:hAnsi="宋体"/>
                <w:bCs/>
                <w:sz w:val="18"/>
              </w:rPr>
              <w:t>13</w:t>
            </w:r>
          </w:p>
        </w:tc>
        <w:tc>
          <w:tcPr>
            <w:tcW w:w="6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7F3671">
            <w:pPr>
              <w:spacing w:line="240" w:lineRule="auto"/>
              <w:jc w:val="left"/>
              <w:rPr>
                <w:rFonts w:ascii="宋体" w:hAnsi="宋体"/>
                <w:bCs/>
                <w:sz w:val="18"/>
              </w:rPr>
            </w:pPr>
          </w:p>
        </w:tc>
        <w:tc>
          <w:tcPr>
            <w:tcW w:w="9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587743">
            <w:pPr>
              <w:spacing w:line="240" w:lineRule="auto"/>
              <w:jc w:val="left"/>
              <w:rPr>
                <w:rFonts w:ascii="宋体" w:hAnsi="宋体"/>
                <w:bCs/>
                <w:sz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E41E35">
            <w:pPr>
              <w:spacing w:line="240" w:lineRule="auto"/>
              <w:jc w:val="left"/>
              <w:rPr>
                <w:rFonts w:ascii="宋体" w:hAnsi="宋体"/>
                <w:bCs/>
                <w:sz w:val="18"/>
              </w:rPr>
            </w:pPr>
          </w:p>
        </w:tc>
        <w:tc>
          <w:tcPr>
            <w:tcW w:w="7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679B10">
            <w:pPr>
              <w:spacing w:line="240" w:lineRule="auto"/>
              <w:jc w:val="left"/>
              <w:rPr>
                <w:rFonts w:ascii="宋体" w:hAnsi="宋体"/>
                <w:bCs/>
                <w:sz w:val="18"/>
              </w:rPr>
            </w:pPr>
          </w:p>
        </w:tc>
        <w:tc>
          <w:tcPr>
            <w:tcW w:w="6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B49D69">
            <w:pPr>
              <w:spacing w:line="240" w:lineRule="auto"/>
              <w:jc w:val="left"/>
              <w:rPr>
                <w:rFonts w:ascii="宋体" w:hAnsi="宋体"/>
                <w:bCs/>
                <w:sz w:val="18"/>
              </w:rPr>
            </w:pPr>
          </w:p>
        </w:tc>
        <w:tc>
          <w:tcPr>
            <w:tcW w:w="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07B4DE">
            <w:pPr>
              <w:spacing w:line="240" w:lineRule="auto"/>
              <w:jc w:val="left"/>
              <w:rPr>
                <w:rFonts w:ascii="宋体" w:hAnsi="宋体"/>
                <w:bCs/>
                <w:sz w:val="18"/>
              </w:rPr>
            </w:pPr>
          </w:p>
        </w:tc>
        <w:tc>
          <w:tcPr>
            <w:tcW w:w="11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B25588">
            <w:pPr>
              <w:spacing w:line="240" w:lineRule="auto"/>
              <w:jc w:val="left"/>
              <w:rPr>
                <w:rFonts w:ascii="宋体" w:hAnsi="宋体"/>
                <w:bCs/>
                <w:sz w:val="18"/>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8814AD">
            <w:pPr>
              <w:spacing w:line="240" w:lineRule="auto"/>
              <w:jc w:val="left"/>
              <w:rPr>
                <w:rFonts w:ascii="宋体" w:hAnsi="宋体"/>
                <w:bCs/>
                <w:sz w:val="18"/>
              </w:rPr>
            </w:pPr>
          </w:p>
        </w:tc>
        <w:tc>
          <w:tcPr>
            <w:tcW w:w="13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8E1BA0">
            <w:pPr>
              <w:spacing w:line="240" w:lineRule="auto"/>
              <w:jc w:val="left"/>
              <w:rPr>
                <w:rFonts w:ascii="宋体" w:hAnsi="宋体"/>
                <w:bCs/>
                <w:sz w:val="18"/>
              </w:rPr>
            </w:pPr>
          </w:p>
        </w:tc>
        <w:tc>
          <w:tcPr>
            <w:tcW w:w="634" w:type="dxa"/>
            <w:tcBorders>
              <w:top w:val="single" w:color="000000" w:sz="4" w:space="0"/>
              <w:left w:val="single" w:color="000000" w:sz="4" w:space="0"/>
              <w:bottom w:val="single" w:color="000000" w:sz="4" w:space="0"/>
              <w:right w:val="single" w:color="000000" w:sz="8" w:space="0"/>
            </w:tcBorders>
            <w:shd w:val="clear" w:color="auto" w:fill="FFFFFF" w:themeFill="background1"/>
            <w:vAlign w:val="center"/>
          </w:tcPr>
          <w:p w14:paraId="42C67675">
            <w:pPr>
              <w:spacing w:line="240" w:lineRule="auto"/>
              <w:jc w:val="left"/>
              <w:rPr>
                <w:rFonts w:ascii="宋体" w:hAnsi="宋体"/>
                <w:bCs/>
                <w:sz w:val="18"/>
              </w:rPr>
            </w:pPr>
          </w:p>
        </w:tc>
      </w:tr>
      <w:tr w14:paraId="616A0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1" w:type="dxa"/>
            <w:tcBorders>
              <w:top w:val="single" w:color="000000" w:sz="4" w:space="0"/>
              <w:left w:val="single" w:color="000000" w:sz="8" w:space="0"/>
              <w:bottom w:val="single" w:color="000000" w:sz="4" w:space="0"/>
              <w:right w:val="single" w:color="000000" w:sz="4" w:space="0"/>
            </w:tcBorders>
            <w:shd w:val="clear" w:color="auto" w:fill="FFFFFF" w:themeFill="background1"/>
            <w:vAlign w:val="center"/>
          </w:tcPr>
          <w:p w14:paraId="740228C0">
            <w:pPr>
              <w:spacing w:line="240" w:lineRule="auto"/>
              <w:jc w:val="left"/>
              <w:rPr>
                <w:rFonts w:ascii="宋体" w:hAnsi="宋体"/>
                <w:bCs/>
                <w:sz w:val="18"/>
              </w:rPr>
            </w:pPr>
            <w:r>
              <w:rPr>
                <w:rFonts w:hint="eastAsia" w:ascii="宋体" w:hAnsi="宋体"/>
                <w:bCs/>
                <w:sz w:val="18"/>
              </w:rPr>
              <w:t>14</w:t>
            </w:r>
          </w:p>
        </w:tc>
        <w:tc>
          <w:tcPr>
            <w:tcW w:w="6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E249FC">
            <w:pPr>
              <w:spacing w:line="240" w:lineRule="auto"/>
              <w:jc w:val="left"/>
              <w:rPr>
                <w:rFonts w:ascii="宋体" w:hAnsi="宋体"/>
                <w:bCs/>
                <w:sz w:val="18"/>
              </w:rPr>
            </w:pPr>
          </w:p>
        </w:tc>
        <w:tc>
          <w:tcPr>
            <w:tcW w:w="9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3D0251">
            <w:pPr>
              <w:spacing w:line="240" w:lineRule="auto"/>
              <w:jc w:val="left"/>
              <w:rPr>
                <w:rFonts w:ascii="宋体" w:hAnsi="宋体"/>
                <w:bCs/>
                <w:sz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8EB8FE">
            <w:pPr>
              <w:spacing w:line="240" w:lineRule="auto"/>
              <w:jc w:val="left"/>
              <w:rPr>
                <w:rFonts w:ascii="宋体" w:hAnsi="宋体"/>
                <w:bCs/>
                <w:sz w:val="18"/>
              </w:rPr>
            </w:pPr>
          </w:p>
        </w:tc>
        <w:tc>
          <w:tcPr>
            <w:tcW w:w="7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5B9A66">
            <w:pPr>
              <w:spacing w:line="240" w:lineRule="auto"/>
              <w:jc w:val="left"/>
              <w:rPr>
                <w:rFonts w:ascii="宋体" w:hAnsi="宋体"/>
                <w:bCs/>
                <w:sz w:val="18"/>
              </w:rPr>
            </w:pPr>
          </w:p>
        </w:tc>
        <w:tc>
          <w:tcPr>
            <w:tcW w:w="6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3F28C1">
            <w:pPr>
              <w:spacing w:line="240" w:lineRule="auto"/>
              <w:jc w:val="left"/>
              <w:rPr>
                <w:rFonts w:ascii="宋体" w:hAnsi="宋体"/>
                <w:bCs/>
                <w:sz w:val="18"/>
              </w:rPr>
            </w:pPr>
          </w:p>
        </w:tc>
        <w:tc>
          <w:tcPr>
            <w:tcW w:w="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0B2498">
            <w:pPr>
              <w:spacing w:line="240" w:lineRule="auto"/>
              <w:jc w:val="left"/>
              <w:rPr>
                <w:rFonts w:ascii="宋体" w:hAnsi="宋体"/>
                <w:bCs/>
                <w:sz w:val="18"/>
              </w:rPr>
            </w:pPr>
          </w:p>
        </w:tc>
        <w:tc>
          <w:tcPr>
            <w:tcW w:w="11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87A2B3">
            <w:pPr>
              <w:spacing w:line="240" w:lineRule="auto"/>
              <w:jc w:val="left"/>
              <w:rPr>
                <w:rFonts w:ascii="宋体" w:hAnsi="宋体"/>
                <w:bCs/>
                <w:sz w:val="18"/>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7991CF">
            <w:pPr>
              <w:spacing w:line="240" w:lineRule="auto"/>
              <w:jc w:val="left"/>
              <w:rPr>
                <w:rFonts w:ascii="宋体" w:hAnsi="宋体"/>
                <w:bCs/>
                <w:sz w:val="18"/>
              </w:rPr>
            </w:pPr>
          </w:p>
        </w:tc>
        <w:tc>
          <w:tcPr>
            <w:tcW w:w="13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DB7170">
            <w:pPr>
              <w:spacing w:line="240" w:lineRule="auto"/>
              <w:jc w:val="left"/>
              <w:rPr>
                <w:rFonts w:ascii="宋体" w:hAnsi="宋体"/>
                <w:bCs/>
                <w:sz w:val="18"/>
              </w:rPr>
            </w:pPr>
          </w:p>
        </w:tc>
        <w:tc>
          <w:tcPr>
            <w:tcW w:w="634" w:type="dxa"/>
            <w:tcBorders>
              <w:top w:val="single" w:color="000000" w:sz="4" w:space="0"/>
              <w:left w:val="single" w:color="000000" w:sz="4" w:space="0"/>
              <w:bottom w:val="single" w:color="000000" w:sz="4" w:space="0"/>
              <w:right w:val="single" w:color="000000" w:sz="8" w:space="0"/>
            </w:tcBorders>
            <w:shd w:val="clear" w:color="auto" w:fill="FFFFFF" w:themeFill="background1"/>
            <w:vAlign w:val="center"/>
          </w:tcPr>
          <w:p w14:paraId="309BBB37">
            <w:pPr>
              <w:spacing w:line="240" w:lineRule="auto"/>
              <w:jc w:val="left"/>
              <w:rPr>
                <w:rFonts w:ascii="宋体" w:hAnsi="宋体"/>
                <w:bCs/>
                <w:sz w:val="18"/>
              </w:rPr>
            </w:pPr>
          </w:p>
        </w:tc>
      </w:tr>
      <w:tr w14:paraId="64DFD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1" w:type="dxa"/>
            <w:tcBorders>
              <w:top w:val="single" w:color="000000" w:sz="4" w:space="0"/>
              <w:left w:val="single" w:color="000000" w:sz="8" w:space="0"/>
              <w:bottom w:val="single" w:color="000000" w:sz="4" w:space="0"/>
              <w:right w:val="single" w:color="000000" w:sz="4" w:space="0"/>
            </w:tcBorders>
            <w:shd w:val="clear" w:color="auto" w:fill="FFFFFF" w:themeFill="background1"/>
            <w:vAlign w:val="center"/>
          </w:tcPr>
          <w:p w14:paraId="3C498FD0">
            <w:pPr>
              <w:spacing w:line="240" w:lineRule="auto"/>
              <w:jc w:val="left"/>
              <w:rPr>
                <w:rFonts w:ascii="宋体" w:hAnsi="宋体"/>
                <w:bCs/>
                <w:sz w:val="18"/>
              </w:rPr>
            </w:pPr>
            <w:r>
              <w:rPr>
                <w:rFonts w:hint="eastAsia" w:ascii="宋体" w:hAnsi="宋体"/>
                <w:bCs/>
                <w:sz w:val="18"/>
              </w:rPr>
              <w:t>15</w:t>
            </w:r>
          </w:p>
        </w:tc>
        <w:tc>
          <w:tcPr>
            <w:tcW w:w="6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1F00DE">
            <w:pPr>
              <w:spacing w:line="240" w:lineRule="auto"/>
              <w:jc w:val="left"/>
              <w:rPr>
                <w:rFonts w:ascii="宋体" w:hAnsi="宋体"/>
                <w:bCs/>
                <w:sz w:val="18"/>
              </w:rPr>
            </w:pPr>
          </w:p>
        </w:tc>
        <w:tc>
          <w:tcPr>
            <w:tcW w:w="9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712A7A">
            <w:pPr>
              <w:spacing w:line="240" w:lineRule="auto"/>
              <w:jc w:val="left"/>
              <w:rPr>
                <w:rFonts w:ascii="宋体" w:hAnsi="宋体"/>
                <w:bCs/>
                <w:sz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775E76">
            <w:pPr>
              <w:spacing w:line="240" w:lineRule="auto"/>
              <w:jc w:val="left"/>
              <w:rPr>
                <w:rFonts w:ascii="宋体" w:hAnsi="宋体"/>
                <w:bCs/>
                <w:sz w:val="18"/>
              </w:rPr>
            </w:pPr>
          </w:p>
        </w:tc>
        <w:tc>
          <w:tcPr>
            <w:tcW w:w="7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6FD465">
            <w:pPr>
              <w:spacing w:line="240" w:lineRule="auto"/>
              <w:jc w:val="left"/>
              <w:rPr>
                <w:rFonts w:ascii="宋体" w:hAnsi="宋体"/>
                <w:bCs/>
                <w:sz w:val="18"/>
              </w:rPr>
            </w:pPr>
          </w:p>
        </w:tc>
        <w:tc>
          <w:tcPr>
            <w:tcW w:w="6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34065F">
            <w:pPr>
              <w:spacing w:line="240" w:lineRule="auto"/>
              <w:jc w:val="left"/>
              <w:rPr>
                <w:rFonts w:ascii="宋体" w:hAnsi="宋体"/>
                <w:bCs/>
                <w:sz w:val="18"/>
              </w:rPr>
            </w:pPr>
          </w:p>
        </w:tc>
        <w:tc>
          <w:tcPr>
            <w:tcW w:w="5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6E568FE">
            <w:pPr>
              <w:spacing w:line="240" w:lineRule="auto"/>
              <w:jc w:val="left"/>
              <w:rPr>
                <w:rFonts w:ascii="宋体" w:hAnsi="宋体"/>
                <w:bCs/>
                <w:sz w:val="18"/>
              </w:rPr>
            </w:pPr>
          </w:p>
        </w:tc>
        <w:tc>
          <w:tcPr>
            <w:tcW w:w="113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F9A320">
            <w:pPr>
              <w:spacing w:line="240" w:lineRule="auto"/>
              <w:jc w:val="left"/>
              <w:rPr>
                <w:rFonts w:ascii="宋体" w:hAnsi="宋体"/>
                <w:bCs/>
                <w:sz w:val="18"/>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F3EE12">
            <w:pPr>
              <w:spacing w:line="240" w:lineRule="auto"/>
              <w:jc w:val="left"/>
              <w:rPr>
                <w:rFonts w:ascii="宋体" w:hAnsi="宋体"/>
                <w:bCs/>
                <w:sz w:val="18"/>
              </w:rPr>
            </w:pPr>
          </w:p>
        </w:tc>
        <w:tc>
          <w:tcPr>
            <w:tcW w:w="13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0114A9">
            <w:pPr>
              <w:spacing w:line="240" w:lineRule="auto"/>
              <w:jc w:val="left"/>
              <w:rPr>
                <w:rFonts w:ascii="宋体" w:hAnsi="宋体"/>
                <w:bCs/>
                <w:sz w:val="18"/>
              </w:rPr>
            </w:pPr>
          </w:p>
        </w:tc>
        <w:tc>
          <w:tcPr>
            <w:tcW w:w="634" w:type="dxa"/>
            <w:tcBorders>
              <w:top w:val="single" w:color="000000" w:sz="4" w:space="0"/>
              <w:left w:val="single" w:color="000000" w:sz="4" w:space="0"/>
              <w:bottom w:val="single" w:color="000000" w:sz="4" w:space="0"/>
              <w:right w:val="single" w:color="000000" w:sz="8" w:space="0"/>
            </w:tcBorders>
            <w:shd w:val="clear" w:color="auto" w:fill="FFFFFF" w:themeFill="background1"/>
            <w:vAlign w:val="center"/>
          </w:tcPr>
          <w:p w14:paraId="6182756E">
            <w:pPr>
              <w:spacing w:line="240" w:lineRule="auto"/>
              <w:jc w:val="left"/>
              <w:rPr>
                <w:rFonts w:ascii="宋体" w:hAnsi="宋体"/>
                <w:bCs/>
                <w:sz w:val="18"/>
              </w:rPr>
            </w:pPr>
          </w:p>
        </w:tc>
      </w:tr>
      <w:tr w14:paraId="776D7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2105" w:type="dxa"/>
            <w:gridSpan w:val="3"/>
            <w:tcBorders>
              <w:top w:val="single" w:color="000000" w:sz="4" w:space="0"/>
              <w:left w:val="single" w:color="000000" w:sz="8" w:space="0"/>
              <w:bottom w:val="single" w:color="000000" w:sz="4" w:space="0"/>
              <w:right w:val="single" w:color="000000" w:sz="4" w:space="0"/>
            </w:tcBorders>
            <w:shd w:val="clear" w:color="auto" w:fill="FFFFFF" w:themeFill="background1"/>
            <w:vAlign w:val="center"/>
          </w:tcPr>
          <w:p w14:paraId="7A03EADB">
            <w:pPr>
              <w:spacing w:line="240" w:lineRule="auto"/>
              <w:jc w:val="left"/>
              <w:rPr>
                <w:rFonts w:ascii="宋体" w:hAnsi="宋体"/>
                <w:bCs/>
                <w:sz w:val="18"/>
              </w:rPr>
            </w:pPr>
            <w:r>
              <w:rPr>
                <w:rFonts w:hint="eastAsia" w:ascii="宋体" w:hAnsi="宋体"/>
                <w:bCs/>
                <w:sz w:val="18"/>
              </w:rPr>
              <w:t>合计服务项目数：    项</w:t>
            </w:r>
          </w:p>
        </w:tc>
        <w:tc>
          <w:tcPr>
            <w:tcW w:w="3423" w:type="dxa"/>
            <w:gridSpan w:val="4"/>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55DD22">
            <w:pPr>
              <w:spacing w:line="240" w:lineRule="auto"/>
              <w:jc w:val="left"/>
              <w:rPr>
                <w:rFonts w:ascii="宋体" w:hAnsi="宋体"/>
                <w:bCs/>
                <w:sz w:val="18"/>
              </w:rPr>
            </w:pPr>
            <w:r>
              <w:rPr>
                <w:rFonts w:hint="eastAsia" w:ascii="宋体" w:hAnsi="宋体"/>
                <w:bCs/>
                <w:sz w:val="18"/>
              </w:rPr>
              <w:t>拟覆盖企业总数：    家</w:t>
            </w:r>
          </w:p>
        </w:tc>
        <w:tc>
          <w:tcPr>
            <w:tcW w:w="4042" w:type="dxa"/>
            <w:gridSpan w:val="4"/>
            <w:tcBorders>
              <w:top w:val="single" w:color="000000" w:sz="4" w:space="0"/>
              <w:left w:val="single" w:color="000000" w:sz="4" w:space="0"/>
              <w:bottom w:val="single" w:color="000000" w:sz="4" w:space="0"/>
              <w:right w:val="single" w:color="000000" w:sz="8" w:space="0"/>
            </w:tcBorders>
            <w:shd w:val="clear" w:color="auto" w:fill="FFFFFF" w:themeFill="background1"/>
            <w:vAlign w:val="center"/>
          </w:tcPr>
          <w:p w14:paraId="10110159">
            <w:pPr>
              <w:spacing w:line="240" w:lineRule="auto"/>
              <w:jc w:val="left"/>
              <w:rPr>
                <w:rFonts w:ascii="宋体" w:hAnsi="宋体"/>
                <w:bCs/>
                <w:sz w:val="18"/>
              </w:rPr>
            </w:pPr>
            <w:r>
              <w:rPr>
                <w:rFonts w:hint="eastAsia" w:ascii="宋体" w:hAnsi="宋体"/>
                <w:bCs/>
                <w:sz w:val="18"/>
              </w:rPr>
              <w:t>帮扶周期：自______年__月至______年__月</w:t>
            </w:r>
          </w:p>
        </w:tc>
      </w:tr>
      <w:tr w14:paraId="46CFB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311" w:type="dxa"/>
            <w:gridSpan w:val="5"/>
            <w:tcBorders>
              <w:top w:val="single" w:color="000000" w:sz="4" w:space="0"/>
              <w:left w:val="single" w:color="000000" w:sz="8" w:space="0"/>
              <w:bottom w:val="single" w:color="000000" w:sz="4" w:space="0"/>
              <w:right w:val="single" w:color="000000" w:sz="4" w:space="0"/>
            </w:tcBorders>
            <w:shd w:val="clear" w:color="auto" w:fill="FFFFFF" w:themeFill="background1"/>
            <w:vAlign w:val="center"/>
          </w:tcPr>
          <w:p w14:paraId="3E46DFC1">
            <w:pPr>
              <w:spacing w:line="240" w:lineRule="auto"/>
              <w:jc w:val="left"/>
              <w:rPr>
                <w:rFonts w:ascii="宋体" w:hAnsi="宋体"/>
                <w:bCs/>
                <w:sz w:val="18"/>
              </w:rPr>
            </w:pPr>
            <w:r>
              <w:rPr>
                <w:rFonts w:hint="eastAsia" w:ascii="宋体" w:hAnsi="宋体"/>
                <w:bCs/>
                <w:sz w:val="18"/>
              </w:rPr>
              <w:t>帮扶实施机构（负责人）签字：_______________  日期：_______年__月__日</w:t>
            </w:r>
          </w:p>
        </w:tc>
        <w:tc>
          <w:tcPr>
            <w:tcW w:w="5259" w:type="dxa"/>
            <w:gridSpan w:val="6"/>
            <w:tcBorders>
              <w:top w:val="single" w:color="000000" w:sz="4" w:space="0"/>
              <w:left w:val="single" w:color="000000" w:sz="4" w:space="0"/>
              <w:bottom w:val="single" w:color="000000" w:sz="4" w:space="0"/>
              <w:right w:val="single" w:color="000000" w:sz="8" w:space="0"/>
            </w:tcBorders>
            <w:shd w:val="clear" w:color="auto" w:fill="FFFFFF" w:themeFill="background1"/>
            <w:vAlign w:val="center"/>
          </w:tcPr>
          <w:p w14:paraId="4002CF19">
            <w:pPr>
              <w:spacing w:line="240" w:lineRule="auto"/>
              <w:jc w:val="left"/>
              <w:rPr>
                <w:rFonts w:ascii="宋体" w:hAnsi="宋体"/>
                <w:bCs/>
                <w:sz w:val="18"/>
              </w:rPr>
            </w:pPr>
            <w:r>
              <w:rPr>
                <w:rFonts w:hint="eastAsia" w:ascii="宋体" w:hAnsi="宋体"/>
                <w:bCs/>
                <w:sz w:val="18"/>
              </w:rPr>
              <w:t>监管部门经办人签字：_______________  日期：_______年__月__日</w:t>
            </w:r>
          </w:p>
        </w:tc>
      </w:tr>
      <w:tr w14:paraId="62C77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7" w:hRule="atLeast"/>
          <w:jc w:val="center"/>
        </w:trPr>
        <w:tc>
          <w:tcPr>
            <w:tcW w:w="9570" w:type="dxa"/>
            <w:gridSpan w:val="11"/>
            <w:tcBorders>
              <w:top w:val="single" w:color="000000" w:sz="4" w:space="0"/>
              <w:left w:val="single" w:color="000000" w:sz="8" w:space="0"/>
              <w:bottom w:val="single" w:color="000000" w:sz="8" w:space="0"/>
              <w:right w:val="single" w:color="000000" w:sz="8" w:space="0"/>
            </w:tcBorders>
            <w:shd w:val="clear" w:color="auto" w:fill="FFFFFF" w:themeFill="background1"/>
            <w:vAlign w:val="center"/>
          </w:tcPr>
          <w:p w14:paraId="2AFA637D">
            <w:pPr>
              <w:spacing w:line="240" w:lineRule="auto"/>
              <w:jc w:val="left"/>
              <w:rPr>
                <w:rFonts w:ascii="宋体" w:hAnsi="宋体"/>
                <w:bCs/>
                <w:sz w:val="18"/>
              </w:rPr>
            </w:pPr>
            <w:r>
              <w:rPr>
                <w:rFonts w:hint="eastAsia" w:ascii="宋体" w:hAnsi="宋体"/>
                <w:bCs/>
                <w:sz w:val="18"/>
              </w:rPr>
              <w:t>附注：</w:t>
            </w:r>
            <w:r>
              <w:rPr>
                <w:rFonts w:hint="eastAsia" w:ascii="宋体" w:hAnsi="宋体"/>
                <w:bCs/>
                <w:sz w:val="18"/>
              </w:rPr>
              <w:br w:type="textWrapping"/>
            </w:r>
            <w:r>
              <w:rPr>
                <w:rFonts w:hint="eastAsia" w:ascii="宋体" w:hAnsi="宋体"/>
                <w:bCs/>
                <w:sz w:val="18"/>
              </w:rPr>
              <w:t>1. 本清单为全年度帮扶项目统筹策划文件，是监管部门与帮扶机构开展任务匹配的基础依据，有别于针对具体企业制定的帮扶方案（见6.3.4）。</w:t>
            </w:r>
            <w:r>
              <w:rPr>
                <w:rFonts w:hint="eastAsia" w:ascii="宋体" w:hAnsi="宋体"/>
                <w:bCs/>
                <w:sz w:val="18"/>
              </w:rPr>
              <w:br w:type="textWrapping"/>
            </w:r>
            <w:r>
              <w:rPr>
                <w:rFonts w:hint="eastAsia" w:ascii="宋体" w:hAnsi="宋体"/>
                <w:bCs/>
                <w:sz w:val="18"/>
              </w:rPr>
              <w:t>2. 帮扶机构应在清单确认后，依据实际帮扶对象逐一制定帮扶方案，并以本清单中的量化目标为基准开展效果评价（6.5.2）。</w:t>
            </w:r>
            <w:r>
              <w:rPr>
                <w:rFonts w:hint="eastAsia" w:ascii="宋体" w:hAnsi="宋体"/>
                <w:bCs/>
                <w:sz w:val="18"/>
              </w:rPr>
              <w:br w:type="textWrapping"/>
            </w:r>
            <w:r>
              <w:rPr>
                <w:rFonts w:hint="eastAsia" w:ascii="宋体" w:hAnsi="宋体"/>
                <w:bCs/>
                <w:sz w:val="18"/>
              </w:rPr>
              <w:t>3. 帮扶过程中如需调整服务项目或量化目标，应经帮扶机构与监管部门双方书面确认，更新清单并注明版本号及变更原因。</w:t>
            </w:r>
            <w:r>
              <w:rPr>
                <w:rFonts w:hint="eastAsia" w:ascii="宋体" w:hAnsi="宋体"/>
                <w:bCs/>
                <w:sz w:val="18"/>
              </w:rPr>
              <w:br w:type="textWrapping"/>
            </w:r>
            <w:r>
              <w:rPr>
                <w:rFonts w:hint="eastAsia" w:ascii="宋体" w:hAnsi="宋体"/>
                <w:bCs/>
                <w:sz w:val="18"/>
              </w:rPr>
              <w:t>4. 本清单一式两份，帮扶实施机构与监管部门各存档一份。</w:t>
            </w:r>
          </w:p>
        </w:tc>
      </w:tr>
    </w:tbl>
    <w:p w14:paraId="19798629">
      <w:pPr>
        <w:pStyle w:val="82"/>
        <w:spacing w:before="120" w:after="120"/>
        <w:rPr>
          <w:shd w:val="clear" w:color="auto" w:fill="FFFFFF"/>
        </w:rPr>
      </w:pPr>
      <w:r>
        <w:rPr>
          <w:shd w:val="clear" w:color="auto" w:fill="FFFFFF"/>
        </w:rPr>
        <w:t>量化指标示例参考</w:t>
      </w:r>
    </w:p>
    <w:p w14:paraId="661C9D39">
      <w:pPr>
        <w:pStyle w:val="60"/>
        <w:ind w:firstLine="420"/>
      </w:pPr>
      <w:r>
        <w:t>表</w:t>
      </w:r>
      <w:r>
        <w:rPr>
          <w:rFonts w:hint="eastAsia"/>
        </w:rPr>
        <w:t>D</w:t>
      </w:r>
      <w:r>
        <w:t>.2给出了不同类别量化指标的参考示例，供帮扶机构在编制帮扶清单时参照选用。</w:t>
      </w:r>
    </w:p>
    <w:p w14:paraId="72C874BD">
      <w:pPr>
        <w:pStyle w:val="81"/>
        <w:spacing w:before="120" w:after="120"/>
      </w:pPr>
      <w:r>
        <w:t>量化指标示例参考表</w:t>
      </w:r>
    </w:p>
    <w:tbl>
      <w:tblPr>
        <w:tblStyle w:val="29"/>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108" w:type="dxa"/>
          <w:bottom w:w="0" w:type="dxa"/>
          <w:right w:w="108" w:type="dxa"/>
        </w:tblCellMar>
      </w:tblPr>
      <w:tblGrid>
        <w:gridCol w:w="1629"/>
        <w:gridCol w:w="3165"/>
        <w:gridCol w:w="2078"/>
        <w:gridCol w:w="2078"/>
      </w:tblGrid>
      <w:tr w14:paraId="7F75E70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1629" w:type="dxa"/>
            <w:tcBorders>
              <w:top w:val="single" w:color="000000" w:sz="8" w:space="0"/>
              <w:bottom w:val="single" w:color="000000" w:sz="8" w:space="0"/>
            </w:tcBorders>
            <w:shd w:val="clear" w:color="auto" w:fill="FFFFFF" w:themeFill="background1"/>
            <w:vAlign w:val="center"/>
          </w:tcPr>
          <w:p w14:paraId="0F33591F">
            <w:pPr>
              <w:spacing w:line="240" w:lineRule="auto"/>
              <w:jc w:val="left"/>
              <w:rPr>
                <w:rFonts w:ascii="宋体" w:hAnsi="宋体"/>
                <w:bCs/>
                <w:sz w:val="18"/>
                <w:szCs w:val="18"/>
              </w:rPr>
            </w:pPr>
            <w:r>
              <w:rPr>
                <w:rFonts w:ascii="宋体" w:hAnsi="宋体"/>
                <w:bCs/>
                <w:sz w:val="18"/>
                <w:szCs w:val="18"/>
              </w:rPr>
              <w:t>指标类别</w:t>
            </w:r>
          </w:p>
        </w:tc>
        <w:tc>
          <w:tcPr>
            <w:tcW w:w="3165" w:type="dxa"/>
            <w:tcBorders>
              <w:top w:val="single" w:color="000000" w:sz="8" w:space="0"/>
              <w:bottom w:val="single" w:color="000000" w:sz="8" w:space="0"/>
            </w:tcBorders>
            <w:shd w:val="clear" w:color="auto" w:fill="FFFFFF" w:themeFill="background1"/>
            <w:vAlign w:val="center"/>
          </w:tcPr>
          <w:p w14:paraId="3FEEA173">
            <w:pPr>
              <w:spacing w:line="240" w:lineRule="auto"/>
              <w:jc w:val="left"/>
              <w:rPr>
                <w:rFonts w:ascii="宋体" w:hAnsi="宋体"/>
                <w:bCs/>
                <w:sz w:val="18"/>
                <w:szCs w:val="18"/>
              </w:rPr>
            </w:pPr>
            <w:r>
              <w:rPr>
                <w:rFonts w:ascii="宋体" w:hAnsi="宋体"/>
                <w:bCs/>
                <w:sz w:val="18"/>
                <w:szCs w:val="18"/>
              </w:rPr>
              <w:t>典型量化指标示例</w:t>
            </w:r>
          </w:p>
        </w:tc>
        <w:tc>
          <w:tcPr>
            <w:tcW w:w="2078" w:type="dxa"/>
            <w:tcBorders>
              <w:top w:val="single" w:color="000000" w:sz="8" w:space="0"/>
              <w:bottom w:val="single" w:color="000000" w:sz="8" w:space="0"/>
            </w:tcBorders>
            <w:shd w:val="clear" w:color="auto" w:fill="FFFFFF" w:themeFill="background1"/>
            <w:vAlign w:val="center"/>
          </w:tcPr>
          <w:p w14:paraId="40B4928B">
            <w:pPr>
              <w:spacing w:line="240" w:lineRule="auto"/>
              <w:jc w:val="left"/>
              <w:rPr>
                <w:rFonts w:ascii="宋体" w:hAnsi="宋体"/>
                <w:bCs/>
                <w:sz w:val="18"/>
                <w:szCs w:val="18"/>
              </w:rPr>
            </w:pPr>
            <w:r>
              <w:rPr>
                <w:rFonts w:ascii="宋体" w:hAnsi="宋体"/>
                <w:bCs/>
                <w:sz w:val="18"/>
                <w:szCs w:val="18"/>
              </w:rPr>
              <w:t>参考计算/衡量方式</w:t>
            </w:r>
          </w:p>
        </w:tc>
        <w:tc>
          <w:tcPr>
            <w:tcW w:w="2078" w:type="dxa"/>
            <w:tcBorders>
              <w:top w:val="single" w:color="000000" w:sz="8" w:space="0"/>
              <w:bottom w:val="single" w:color="000000" w:sz="8" w:space="0"/>
            </w:tcBorders>
            <w:shd w:val="clear" w:color="auto" w:fill="FFFFFF" w:themeFill="background1"/>
            <w:vAlign w:val="center"/>
          </w:tcPr>
          <w:p w14:paraId="6A66A933">
            <w:pPr>
              <w:spacing w:line="240" w:lineRule="auto"/>
              <w:jc w:val="left"/>
              <w:rPr>
                <w:rFonts w:ascii="宋体" w:hAnsi="宋体"/>
                <w:bCs/>
                <w:sz w:val="18"/>
                <w:szCs w:val="18"/>
              </w:rPr>
            </w:pPr>
            <w:r>
              <w:rPr>
                <w:rFonts w:ascii="宋体" w:hAnsi="宋体"/>
                <w:bCs/>
                <w:sz w:val="18"/>
                <w:szCs w:val="18"/>
              </w:rPr>
              <w:t>建议验证方式</w:t>
            </w:r>
          </w:p>
        </w:tc>
      </w:tr>
      <w:tr w14:paraId="373B99A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3" w:hRule="atLeast"/>
          <w:jc w:val="center"/>
        </w:trPr>
        <w:tc>
          <w:tcPr>
            <w:tcW w:w="1629" w:type="dxa"/>
            <w:tcBorders>
              <w:top w:val="single" w:color="000000" w:sz="8" w:space="0"/>
            </w:tcBorders>
            <w:shd w:val="clear" w:color="auto" w:fill="FFFFFF" w:themeFill="background1"/>
            <w:vAlign w:val="center"/>
          </w:tcPr>
          <w:p w14:paraId="692D387B">
            <w:pPr>
              <w:spacing w:line="240" w:lineRule="auto"/>
              <w:jc w:val="left"/>
              <w:rPr>
                <w:rFonts w:ascii="宋体" w:hAnsi="宋体"/>
                <w:bCs/>
                <w:sz w:val="18"/>
                <w:szCs w:val="18"/>
              </w:rPr>
            </w:pPr>
            <w:r>
              <w:rPr>
                <w:rFonts w:ascii="宋体" w:hAnsi="宋体"/>
                <w:bCs/>
                <w:sz w:val="18"/>
                <w:szCs w:val="18"/>
              </w:rPr>
              <w:t>工作执行类</w:t>
            </w:r>
          </w:p>
        </w:tc>
        <w:tc>
          <w:tcPr>
            <w:tcW w:w="3165" w:type="dxa"/>
            <w:tcBorders>
              <w:top w:val="single" w:color="000000" w:sz="8" w:space="0"/>
            </w:tcBorders>
            <w:shd w:val="clear" w:color="auto" w:fill="FFFFFF" w:themeFill="background1"/>
            <w:vAlign w:val="center"/>
          </w:tcPr>
          <w:p w14:paraId="06DCBC66">
            <w:pPr>
              <w:spacing w:line="240" w:lineRule="auto"/>
              <w:jc w:val="left"/>
              <w:rPr>
                <w:rFonts w:ascii="宋体" w:hAnsi="宋体"/>
                <w:bCs/>
                <w:sz w:val="18"/>
                <w:szCs w:val="18"/>
              </w:rPr>
            </w:pPr>
            <w:r>
              <w:rPr>
                <w:rFonts w:ascii="宋体" w:hAnsi="宋体"/>
                <w:bCs/>
                <w:sz w:val="18"/>
                <w:szCs w:val="18"/>
              </w:rPr>
              <w:t>· 帮扶任务完成率≥90%</w:t>
            </w:r>
            <w:r>
              <w:rPr>
                <w:rFonts w:ascii="宋体" w:hAnsi="宋体"/>
                <w:bCs/>
                <w:sz w:val="18"/>
                <w:szCs w:val="18"/>
              </w:rPr>
              <w:br w:type="textWrapping"/>
            </w:r>
            <w:r>
              <w:rPr>
                <w:rFonts w:ascii="宋体" w:hAnsi="宋体"/>
                <w:bCs/>
                <w:sz w:val="18"/>
                <w:szCs w:val="18"/>
              </w:rPr>
              <w:t>· 帮扶工作及时率≥95%</w:t>
            </w:r>
            <w:r>
              <w:rPr>
                <w:rFonts w:ascii="宋体" w:hAnsi="宋体"/>
                <w:bCs/>
                <w:sz w:val="18"/>
                <w:szCs w:val="18"/>
              </w:rPr>
              <w:br w:type="textWrapping"/>
            </w:r>
            <w:r>
              <w:rPr>
                <w:rFonts w:ascii="宋体" w:hAnsi="宋体"/>
                <w:bCs/>
                <w:sz w:val="18"/>
                <w:szCs w:val="18"/>
              </w:rPr>
              <w:t>· 计划节点偏差≤5个工作日</w:t>
            </w:r>
          </w:p>
        </w:tc>
        <w:tc>
          <w:tcPr>
            <w:tcW w:w="2078" w:type="dxa"/>
            <w:tcBorders>
              <w:top w:val="single" w:color="000000" w:sz="8" w:space="0"/>
            </w:tcBorders>
            <w:shd w:val="clear" w:color="auto" w:fill="FFFFFF" w:themeFill="background1"/>
            <w:vAlign w:val="center"/>
          </w:tcPr>
          <w:p w14:paraId="5D34563E">
            <w:pPr>
              <w:spacing w:line="240" w:lineRule="auto"/>
              <w:jc w:val="left"/>
              <w:rPr>
                <w:rFonts w:ascii="宋体" w:hAnsi="宋体"/>
                <w:bCs/>
                <w:sz w:val="18"/>
                <w:szCs w:val="18"/>
              </w:rPr>
            </w:pPr>
            <w:r>
              <w:rPr>
                <w:rFonts w:ascii="宋体" w:hAnsi="宋体"/>
                <w:bCs/>
                <w:sz w:val="18"/>
                <w:szCs w:val="18"/>
              </w:rPr>
              <w:t>完成任务数/总任务数×100%</w:t>
            </w:r>
            <w:r>
              <w:rPr>
                <w:rFonts w:ascii="宋体" w:hAnsi="宋体"/>
                <w:bCs/>
                <w:sz w:val="18"/>
                <w:szCs w:val="18"/>
              </w:rPr>
              <w:br w:type="textWrapping"/>
            </w:r>
            <w:r>
              <w:rPr>
                <w:rFonts w:ascii="宋体" w:hAnsi="宋体"/>
                <w:bCs/>
                <w:sz w:val="18"/>
                <w:szCs w:val="18"/>
              </w:rPr>
              <w:t>按时完成节点数/总节点数×100%</w:t>
            </w:r>
          </w:p>
        </w:tc>
        <w:tc>
          <w:tcPr>
            <w:tcW w:w="2078" w:type="dxa"/>
            <w:tcBorders>
              <w:top w:val="single" w:color="000000" w:sz="8" w:space="0"/>
            </w:tcBorders>
            <w:shd w:val="clear" w:color="auto" w:fill="FFFFFF" w:themeFill="background1"/>
            <w:vAlign w:val="center"/>
          </w:tcPr>
          <w:p w14:paraId="3BDD6369">
            <w:pPr>
              <w:spacing w:line="240" w:lineRule="auto"/>
              <w:jc w:val="left"/>
              <w:rPr>
                <w:rFonts w:ascii="宋体" w:hAnsi="宋体"/>
                <w:bCs/>
                <w:sz w:val="18"/>
                <w:szCs w:val="18"/>
              </w:rPr>
            </w:pPr>
            <w:r>
              <w:rPr>
                <w:rFonts w:ascii="宋体" w:hAnsi="宋体"/>
                <w:bCs/>
                <w:sz w:val="18"/>
                <w:szCs w:val="18"/>
              </w:rPr>
              <w:t>帮扶工作记录表（附录D）核查</w:t>
            </w:r>
          </w:p>
        </w:tc>
      </w:tr>
      <w:tr w14:paraId="55D0B57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3" w:hRule="atLeast"/>
          <w:jc w:val="center"/>
        </w:trPr>
        <w:tc>
          <w:tcPr>
            <w:tcW w:w="1629" w:type="dxa"/>
            <w:shd w:val="clear" w:color="auto" w:fill="FFFFFF" w:themeFill="background1"/>
            <w:vAlign w:val="center"/>
          </w:tcPr>
          <w:p w14:paraId="04823B5E">
            <w:pPr>
              <w:spacing w:line="240" w:lineRule="auto"/>
              <w:jc w:val="left"/>
              <w:rPr>
                <w:rFonts w:ascii="宋体" w:hAnsi="宋体"/>
                <w:bCs/>
                <w:sz w:val="18"/>
                <w:szCs w:val="18"/>
              </w:rPr>
            </w:pPr>
            <w:r>
              <w:rPr>
                <w:rFonts w:ascii="宋体" w:hAnsi="宋体"/>
                <w:bCs/>
                <w:sz w:val="18"/>
                <w:szCs w:val="18"/>
              </w:rPr>
              <w:t>问题整改类</w:t>
            </w:r>
          </w:p>
        </w:tc>
        <w:tc>
          <w:tcPr>
            <w:tcW w:w="3165" w:type="dxa"/>
            <w:shd w:val="clear" w:color="auto" w:fill="FFFFFF" w:themeFill="background1"/>
            <w:vAlign w:val="center"/>
          </w:tcPr>
          <w:p w14:paraId="132C3242">
            <w:pPr>
              <w:spacing w:line="240" w:lineRule="auto"/>
              <w:jc w:val="left"/>
              <w:rPr>
                <w:rFonts w:ascii="宋体" w:hAnsi="宋体"/>
                <w:bCs/>
                <w:sz w:val="18"/>
                <w:szCs w:val="18"/>
              </w:rPr>
            </w:pPr>
            <w:r>
              <w:rPr>
                <w:rFonts w:ascii="宋体" w:hAnsi="宋体"/>
                <w:bCs/>
                <w:sz w:val="18"/>
                <w:szCs w:val="18"/>
              </w:rPr>
              <w:t>· 质量问题整改完成率≥95%</w:t>
            </w:r>
            <w:r>
              <w:rPr>
                <w:rFonts w:ascii="宋体" w:hAnsi="宋体"/>
                <w:bCs/>
                <w:sz w:val="18"/>
                <w:szCs w:val="18"/>
              </w:rPr>
              <w:br w:type="textWrapping"/>
            </w:r>
            <w:r>
              <w:rPr>
                <w:rFonts w:ascii="宋体" w:hAnsi="宋体"/>
                <w:bCs/>
                <w:sz w:val="18"/>
                <w:szCs w:val="18"/>
              </w:rPr>
              <w:t>· 整改闭环周期≤60天</w:t>
            </w:r>
            <w:r>
              <w:rPr>
                <w:rFonts w:ascii="宋体" w:hAnsi="宋体"/>
                <w:bCs/>
                <w:sz w:val="18"/>
                <w:szCs w:val="18"/>
              </w:rPr>
              <w:br w:type="textWrapping"/>
            </w:r>
            <w:r>
              <w:rPr>
                <w:rFonts w:ascii="宋体" w:hAnsi="宋体"/>
                <w:bCs/>
                <w:sz w:val="18"/>
                <w:szCs w:val="18"/>
              </w:rPr>
              <w:t>· 高风险问题整改率100%</w:t>
            </w:r>
          </w:p>
        </w:tc>
        <w:tc>
          <w:tcPr>
            <w:tcW w:w="2078" w:type="dxa"/>
            <w:shd w:val="clear" w:color="auto" w:fill="FFFFFF" w:themeFill="background1"/>
            <w:vAlign w:val="center"/>
          </w:tcPr>
          <w:p w14:paraId="2190CECB">
            <w:pPr>
              <w:spacing w:line="240" w:lineRule="auto"/>
              <w:jc w:val="left"/>
              <w:rPr>
                <w:rFonts w:ascii="宋体" w:hAnsi="宋体"/>
                <w:bCs/>
                <w:sz w:val="18"/>
                <w:szCs w:val="18"/>
              </w:rPr>
            </w:pPr>
            <w:r>
              <w:rPr>
                <w:rFonts w:ascii="宋体" w:hAnsi="宋体"/>
                <w:bCs/>
                <w:sz w:val="18"/>
                <w:szCs w:val="18"/>
              </w:rPr>
              <w:t>已闭环问题数/清单总问题数×100%</w:t>
            </w:r>
            <w:r>
              <w:rPr>
                <w:rFonts w:ascii="宋体" w:hAnsi="宋体"/>
                <w:bCs/>
                <w:sz w:val="18"/>
                <w:szCs w:val="18"/>
              </w:rPr>
              <w:br w:type="textWrapping"/>
            </w:r>
            <w:r>
              <w:rPr>
                <w:rFonts w:ascii="宋体" w:hAnsi="宋体"/>
                <w:bCs/>
                <w:sz w:val="18"/>
                <w:szCs w:val="18"/>
              </w:rPr>
              <w:t>从整改启动到验收通过的自然日</w:t>
            </w:r>
          </w:p>
        </w:tc>
        <w:tc>
          <w:tcPr>
            <w:tcW w:w="2078" w:type="dxa"/>
            <w:shd w:val="clear" w:color="auto" w:fill="FFFFFF" w:themeFill="background1"/>
            <w:vAlign w:val="center"/>
          </w:tcPr>
          <w:p w14:paraId="4B59F9CB">
            <w:pPr>
              <w:spacing w:line="240" w:lineRule="auto"/>
              <w:jc w:val="left"/>
              <w:rPr>
                <w:rFonts w:ascii="宋体" w:hAnsi="宋体"/>
                <w:bCs/>
                <w:sz w:val="18"/>
                <w:szCs w:val="18"/>
              </w:rPr>
            </w:pPr>
            <w:r>
              <w:rPr>
                <w:rFonts w:ascii="宋体" w:hAnsi="宋体"/>
                <w:bCs/>
                <w:sz w:val="18"/>
                <w:szCs w:val="18"/>
              </w:rPr>
              <w:t>现场复核；整改报告核查</w:t>
            </w:r>
          </w:p>
        </w:tc>
      </w:tr>
      <w:tr w14:paraId="4569143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3" w:hRule="atLeast"/>
          <w:jc w:val="center"/>
        </w:trPr>
        <w:tc>
          <w:tcPr>
            <w:tcW w:w="1629" w:type="dxa"/>
            <w:shd w:val="clear" w:color="auto" w:fill="FFFFFF" w:themeFill="background1"/>
            <w:vAlign w:val="center"/>
          </w:tcPr>
          <w:p w14:paraId="42CF66F5">
            <w:pPr>
              <w:spacing w:line="240" w:lineRule="auto"/>
              <w:jc w:val="left"/>
              <w:rPr>
                <w:rFonts w:ascii="宋体" w:hAnsi="宋体"/>
                <w:bCs/>
                <w:sz w:val="18"/>
                <w:szCs w:val="18"/>
              </w:rPr>
            </w:pPr>
            <w:r>
              <w:rPr>
                <w:rFonts w:ascii="宋体" w:hAnsi="宋体"/>
                <w:bCs/>
                <w:sz w:val="18"/>
                <w:szCs w:val="18"/>
              </w:rPr>
              <w:t>产品合格类</w:t>
            </w:r>
          </w:p>
        </w:tc>
        <w:tc>
          <w:tcPr>
            <w:tcW w:w="3165" w:type="dxa"/>
            <w:shd w:val="clear" w:color="auto" w:fill="FFFFFF" w:themeFill="background1"/>
            <w:vAlign w:val="center"/>
          </w:tcPr>
          <w:p w14:paraId="29ADAA15">
            <w:pPr>
              <w:spacing w:line="240" w:lineRule="auto"/>
              <w:jc w:val="left"/>
              <w:rPr>
                <w:rFonts w:ascii="宋体" w:hAnsi="宋体"/>
                <w:bCs/>
                <w:sz w:val="18"/>
                <w:szCs w:val="18"/>
              </w:rPr>
            </w:pPr>
            <w:r>
              <w:rPr>
                <w:rFonts w:ascii="宋体" w:hAnsi="宋体"/>
                <w:bCs/>
                <w:sz w:val="18"/>
                <w:szCs w:val="18"/>
              </w:rPr>
              <w:t>· 产品出厂合格率提升至≥98%</w:t>
            </w:r>
            <w:r>
              <w:rPr>
                <w:rFonts w:ascii="宋体" w:hAnsi="宋体"/>
                <w:bCs/>
                <w:sz w:val="18"/>
                <w:szCs w:val="18"/>
              </w:rPr>
              <w:br w:type="textWrapping"/>
            </w:r>
            <w:r>
              <w:rPr>
                <w:rFonts w:ascii="宋体" w:hAnsi="宋体"/>
                <w:bCs/>
                <w:sz w:val="18"/>
                <w:szCs w:val="18"/>
              </w:rPr>
              <w:t>· 监督抽查批次合格率≥95%</w:t>
            </w:r>
            <w:r>
              <w:rPr>
                <w:rFonts w:ascii="宋体" w:hAnsi="宋体"/>
                <w:bCs/>
                <w:sz w:val="18"/>
                <w:szCs w:val="18"/>
              </w:rPr>
              <w:br w:type="textWrapping"/>
            </w:r>
            <w:r>
              <w:rPr>
                <w:rFonts w:ascii="宋体" w:hAnsi="宋体"/>
                <w:bCs/>
                <w:sz w:val="18"/>
                <w:szCs w:val="18"/>
              </w:rPr>
              <w:t>· 关键特性一次交验合格率≥90%</w:t>
            </w:r>
          </w:p>
        </w:tc>
        <w:tc>
          <w:tcPr>
            <w:tcW w:w="2078" w:type="dxa"/>
            <w:shd w:val="clear" w:color="auto" w:fill="FFFFFF" w:themeFill="background1"/>
            <w:vAlign w:val="center"/>
          </w:tcPr>
          <w:p w14:paraId="0662C2BF">
            <w:pPr>
              <w:spacing w:line="240" w:lineRule="auto"/>
              <w:jc w:val="left"/>
              <w:rPr>
                <w:rFonts w:ascii="宋体" w:hAnsi="宋体"/>
                <w:bCs/>
                <w:sz w:val="18"/>
                <w:szCs w:val="18"/>
              </w:rPr>
            </w:pPr>
            <w:r>
              <w:rPr>
                <w:rFonts w:ascii="宋体" w:hAnsi="宋体"/>
                <w:bCs/>
                <w:sz w:val="18"/>
                <w:szCs w:val="18"/>
              </w:rPr>
              <w:t>抽样检测合格件数/总抽样件数×100%</w:t>
            </w:r>
            <w:r>
              <w:rPr>
                <w:rFonts w:ascii="宋体" w:hAnsi="宋体"/>
                <w:bCs/>
                <w:sz w:val="18"/>
                <w:szCs w:val="18"/>
              </w:rPr>
              <w:br w:type="textWrapping"/>
            </w:r>
            <w:r>
              <w:rPr>
                <w:rFonts w:ascii="宋体" w:hAnsi="宋体"/>
                <w:bCs/>
                <w:sz w:val="18"/>
                <w:szCs w:val="18"/>
              </w:rPr>
              <w:t>与帮扶前同期数据对比</w:t>
            </w:r>
          </w:p>
        </w:tc>
        <w:tc>
          <w:tcPr>
            <w:tcW w:w="2078" w:type="dxa"/>
            <w:shd w:val="clear" w:color="auto" w:fill="FFFFFF" w:themeFill="background1"/>
            <w:vAlign w:val="center"/>
          </w:tcPr>
          <w:p w14:paraId="15D5C812">
            <w:pPr>
              <w:spacing w:line="240" w:lineRule="auto"/>
              <w:jc w:val="left"/>
              <w:rPr>
                <w:rFonts w:ascii="宋体" w:hAnsi="宋体"/>
                <w:bCs/>
                <w:sz w:val="18"/>
                <w:szCs w:val="18"/>
              </w:rPr>
            </w:pPr>
            <w:r>
              <w:rPr>
                <w:rFonts w:ascii="宋体" w:hAnsi="宋体"/>
                <w:bCs/>
                <w:sz w:val="18"/>
                <w:szCs w:val="18"/>
              </w:rPr>
              <w:t>再次抽样检测（≥3批次）</w:t>
            </w:r>
            <w:r>
              <w:rPr>
                <w:rFonts w:ascii="宋体" w:hAnsi="宋体"/>
                <w:bCs/>
                <w:sz w:val="18"/>
                <w:szCs w:val="18"/>
              </w:rPr>
              <w:br w:type="textWrapping"/>
            </w:r>
            <w:r>
              <w:rPr>
                <w:rFonts w:ascii="宋体" w:hAnsi="宋体"/>
                <w:bCs/>
                <w:sz w:val="18"/>
                <w:szCs w:val="18"/>
              </w:rPr>
              <w:t>过程质量数据比对</w:t>
            </w:r>
          </w:p>
        </w:tc>
      </w:tr>
      <w:tr w14:paraId="49C88FF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3" w:hRule="atLeast"/>
          <w:jc w:val="center"/>
        </w:trPr>
        <w:tc>
          <w:tcPr>
            <w:tcW w:w="1629" w:type="dxa"/>
            <w:shd w:val="clear" w:color="auto" w:fill="FFFFFF" w:themeFill="background1"/>
            <w:vAlign w:val="center"/>
          </w:tcPr>
          <w:p w14:paraId="6B3A1663">
            <w:pPr>
              <w:spacing w:line="240" w:lineRule="auto"/>
              <w:jc w:val="left"/>
              <w:rPr>
                <w:rFonts w:ascii="宋体" w:hAnsi="宋体"/>
                <w:bCs/>
                <w:sz w:val="18"/>
                <w:szCs w:val="18"/>
              </w:rPr>
            </w:pPr>
            <w:r>
              <w:rPr>
                <w:rFonts w:ascii="宋体" w:hAnsi="宋体"/>
                <w:bCs/>
                <w:sz w:val="18"/>
                <w:szCs w:val="18"/>
              </w:rPr>
              <w:t>过程控制类</w:t>
            </w:r>
          </w:p>
        </w:tc>
        <w:tc>
          <w:tcPr>
            <w:tcW w:w="3165" w:type="dxa"/>
            <w:shd w:val="clear" w:color="auto" w:fill="FFFFFF" w:themeFill="background1"/>
            <w:vAlign w:val="center"/>
          </w:tcPr>
          <w:p w14:paraId="2E79D6F1">
            <w:pPr>
              <w:spacing w:line="240" w:lineRule="auto"/>
              <w:jc w:val="left"/>
              <w:rPr>
                <w:rFonts w:ascii="宋体" w:hAnsi="宋体"/>
                <w:bCs/>
                <w:sz w:val="18"/>
                <w:szCs w:val="18"/>
              </w:rPr>
            </w:pPr>
            <w:r>
              <w:rPr>
                <w:rFonts w:ascii="宋体" w:hAnsi="宋体"/>
                <w:bCs/>
                <w:sz w:val="18"/>
                <w:szCs w:val="18"/>
              </w:rPr>
              <w:t>· 过程质量波动降低幅度≥30%</w:t>
            </w:r>
            <w:r>
              <w:rPr>
                <w:rFonts w:ascii="宋体" w:hAnsi="宋体"/>
                <w:bCs/>
                <w:sz w:val="18"/>
                <w:szCs w:val="18"/>
              </w:rPr>
              <w:br w:type="textWrapping"/>
            </w:r>
            <w:r>
              <w:rPr>
                <w:rFonts w:ascii="宋体" w:hAnsi="宋体"/>
                <w:bCs/>
                <w:sz w:val="18"/>
                <w:szCs w:val="18"/>
              </w:rPr>
              <w:t>· 关键工序CPK提升至≥1.33</w:t>
            </w:r>
            <w:r>
              <w:rPr>
                <w:rFonts w:ascii="宋体" w:hAnsi="宋体"/>
                <w:bCs/>
                <w:sz w:val="18"/>
                <w:szCs w:val="18"/>
              </w:rPr>
              <w:br w:type="textWrapping"/>
            </w:r>
            <w:r>
              <w:rPr>
                <w:rFonts w:ascii="宋体" w:hAnsi="宋体"/>
                <w:bCs/>
                <w:sz w:val="18"/>
                <w:szCs w:val="18"/>
              </w:rPr>
              <w:t>· 不良品率降低≥50%</w:t>
            </w:r>
          </w:p>
        </w:tc>
        <w:tc>
          <w:tcPr>
            <w:tcW w:w="2078" w:type="dxa"/>
            <w:shd w:val="clear" w:color="auto" w:fill="FFFFFF" w:themeFill="background1"/>
            <w:vAlign w:val="center"/>
          </w:tcPr>
          <w:p w14:paraId="1337A283">
            <w:pPr>
              <w:spacing w:line="240" w:lineRule="auto"/>
              <w:jc w:val="left"/>
              <w:rPr>
                <w:rFonts w:ascii="宋体" w:hAnsi="宋体"/>
                <w:bCs/>
                <w:sz w:val="18"/>
                <w:szCs w:val="18"/>
              </w:rPr>
            </w:pPr>
            <w:r>
              <w:rPr>
                <w:rFonts w:ascii="宋体" w:hAnsi="宋体"/>
                <w:bCs/>
                <w:sz w:val="18"/>
                <w:szCs w:val="18"/>
              </w:rPr>
              <w:t>以标准差或PPM衡量，与帮扶前基准值比对</w:t>
            </w:r>
            <w:r>
              <w:rPr>
                <w:rFonts w:ascii="宋体" w:hAnsi="宋体"/>
                <w:bCs/>
                <w:sz w:val="18"/>
                <w:szCs w:val="18"/>
              </w:rPr>
              <w:br w:type="textWrapping"/>
            </w:r>
            <w:r>
              <w:rPr>
                <w:rFonts w:ascii="宋体" w:hAnsi="宋体"/>
                <w:bCs/>
                <w:sz w:val="18"/>
                <w:szCs w:val="18"/>
              </w:rPr>
              <w:t>CPK=(USL-LSL)/6σ</w:t>
            </w:r>
          </w:p>
        </w:tc>
        <w:tc>
          <w:tcPr>
            <w:tcW w:w="2078" w:type="dxa"/>
            <w:shd w:val="clear" w:color="auto" w:fill="FFFFFF" w:themeFill="background1"/>
            <w:vAlign w:val="center"/>
          </w:tcPr>
          <w:p w14:paraId="58622F97">
            <w:pPr>
              <w:spacing w:line="240" w:lineRule="auto"/>
              <w:jc w:val="left"/>
              <w:rPr>
                <w:rFonts w:ascii="宋体" w:hAnsi="宋体"/>
                <w:bCs/>
                <w:sz w:val="18"/>
                <w:szCs w:val="18"/>
              </w:rPr>
            </w:pPr>
            <w:r>
              <w:rPr>
                <w:rFonts w:ascii="宋体" w:hAnsi="宋体"/>
                <w:bCs/>
                <w:sz w:val="18"/>
                <w:szCs w:val="18"/>
              </w:rPr>
              <w:t>过程质量数据统计分析</w:t>
            </w:r>
            <w:r>
              <w:rPr>
                <w:rFonts w:ascii="宋体" w:hAnsi="宋体"/>
                <w:bCs/>
                <w:sz w:val="18"/>
                <w:szCs w:val="18"/>
              </w:rPr>
              <w:br w:type="textWrapping"/>
            </w:r>
            <w:r>
              <w:rPr>
                <w:rFonts w:ascii="宋体" w:hAnsi="宋体"/>
                <w:bCs/>
                <w:sz w:val="18"/>
                <w:szCs w:val="18"/>
              </w:rPr>
              <w:t>现场检测与比对</w:t>
            </w:r>
          </w:p>
        </w:tc>
      </w:tr>
      <w:tr w14:paraId="711371C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3" w:hRule="atLeast"/>
          <w:jc w:val="center"/>
        </w:trPr>
        <w:tc>
          <w:tcPr>
            <w:tcW w:w="1629" w:type="dxa"/>
            <w:shd w:val="clear" w:color="auto" w:fill="FFFFFF" w:themeFill="background1"/>
            <w:vAlign w:val="center"/>
          </w:tcPr>
          <w:p w14:paraId="2E46F375">
            <w:pPr>
              <w:spacing w:line="240" w:lineRule="auto"/>
              <w:jc w:val="left"/>
              <w:rPr>
                <w:rFonts w:ascii="宋体" w:hAnsi="宋体"/>
                <w:bCs/>
                <w:sz w:val="18"/>
                <w:szCs w:val="18"/>
              </w:rPr>
            </w:pPr>
            <w:r>
              <w:rPr>
                <w:rFonts w:ascii="宋体" w:hAnsi="宋体"/>
                <w:bCs/>
                <w:sz w:val="18"/>
                <w:szCs w:val="18"/>
              </w:rPr>
              <w:t>体系建设类</w:t>
            </w:r>
          </w:p>
        </w:tc>
        <w:tc>
          <w:tcPr>
            <w:tcW w:w="3165" w:type="dxa"/>
            <w:shd w:val="clear" w:color="auto" w:fill="FFFFFF" w:themeFill="background1"/>
            <w:vAlign w:val="center"/>
          </w:tcPr>
          <w:p w14:paraId="72F6A059">
            <w:pPr>
              <w:spacing w:line="240" w:lineRule="auto"/>
              <w:jc w:val="left"/>
              <w:rPr>
                <w:rFonts w:ascii="宋体" w:hAnsi="宋体"/>
                <w:bCs/>
                <w:sz w:val="18"/>
                <w:szCs w:val="18"/>
              </w:rPr>
            </w:pPr>
            <w:r>
              <w:rPr>
                <w:rFonts w:ascii="宋体" w:hAnsi="宋体"/>
                <w:bCs/>
                <w:sz w:val="18"/>
                <w:szCs w:val="18"/>
              </w:rPr>
              <w:t>· 质量管理体系文件建立完整度≥80%</w:t>
            </w:r>
            <w:r>
              <w:rPr>
                <w:rFonts w:ascii="宋体" w:hAnsi="宋体"/>
                <w:bCs/>
                <w:sz w:val="18"/>
                <w:szCs w:val="18"/>
              </w:rPr>
              <w:br w:type="textWrapping"/>
            </w:r>
            <w:r>
              <w:rPr>
                <w:rFonts w:ascii="宋体" w:hAnsi="宋体"/>
                <w:bCs/>
                <w:sz w:val="18"/>
                <w:szCs w:val="18"/>
              </w:rPr>
              <w:t>· 关键岗位操作规程覆盖率100%</w:t>
            </w:r>
            <w:r>
              <w:rPr>
                <w:rFonts w:ascii="宋体" w:hAnsi="宋体"/>
                <w:bCs/>
                <w:sz w:val="18"/>
                <w:szCs w:val="18"/>
              </w:rPr>
              <w:br w:type="textWrapping"/>
            </w:r>
            <w:r>
              <w:rPr>
                <w:rFonts w:ascii="宋体" w:hAnsi="宋体"/>
                <w:bCs/>
                <w:sz w:val="18"/>
                <w:szCs w:val="18"/>
              </w:rPr>
              <w:t>· 内审发现不符合项整改率100%</w:t>
            </w:r>
          </w:p>
        </w:tc>
        <w:tc>
          <w:tcPr>
            <w:tcW w:w="2078" w:type="dxa"/>
            <w:shd w:val="clear" w:color="auto" w:fill="FFFFFF" w:themeFill="background1"/>
            <w:vAlign w:val="center"/>
          </w:tcPr>
          <w:p w14:paraId="7A727628">
            <w:pPr>
              <w:spacing w:line="240" w:lineRule="auto"/>
              <w:jc w:val="left"/>
              <w:rPr>
                <w:rFonts w:ascii="宋体" w:hAnsi="宋体"/>
                <w:bCs/>
                <w:sz w:val="18"/>
                <w:szCs w:val="18"/>
              </w:rPr>
            </w:pPr>
            <w:r>
              <w:rPr>
                <w:rFonts w:ascii="宋体" w:hAnsi="宋体"/>
                <w:bCs/>
                <w:sz w:val="18"/>
                <w:szCs w:val="18"/>
              </w:rPr>
              <w:t>已建文件数/应建文件清单数×100%</w:t>
            </w:r>
            <w:r>
              <w:rPr>
                <w:rFonts w:ascii="宋体" w:hAnsi="宋体"/>
                <w:bCs/>
                <w:sz w:val="18"/>
                <w:szCs w:val="18"/>
              </w:rPr>
              <w:br w:type="textWrapping"/>
            </w:r>
            <w:r>
              <w:rPr>
                <w:rFonts w:ascii="宋体" w:hAnsi="宋体"/>
                <w:bCs/>
                <w:sz w:val="18"/>
                <w:szCs w:val="18"/>
              </w:rPr>
              <w:t>已制规程岗位数/关键岗位总数×100%</w:t>
            </w:r>
          </w:p>
        </w:tc>
        <w:tc>
          <w:tcPr>
            <w:tcW w:w="2078" w:type="dxa"/>
            <w:shd w:val="clear" w:color="auto" w:fill="FFFFFF" w:themeFill="background1"/>
            <w:vAlign w:val="center"/>
          </w:tcPr>
          <w:p w14:paraId="142BD83E">
            <w:pPr>
              <w:spacing w:line="240" w:lineRule="auto"/>
              <w:jc w:val="left"/>
              <w:rPr>
                <w:rFonts w:ascii="宋体" w:hAnsi="宋体"/>
                <w:bCs/>
                <w:sz w:val="18"/>
                <w:szCs w:val="18"/>
              </w:rPr>
            </w:pPr>
            <w:r>
              <w:rPr>
                <w:rFonts w:ascii="宋体" w:hAnsi="宋体"/>
                <w:bCs/>
                <w:sz w:val="18"/>
                <w:szCs w:val="18"/>
              </w:rPr>
              <w:t>体系文件审查；内审报告核查</w:t>
            </w:r>
          </w:p>
        </w:tc>
      </w:tr>
      <w:tr w14:paraId="3B4230A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3" w:hRule="atLeast"/>
          <w:jc w:val="center"/>
        </w:trPr>
        <w:tc>
          <w:tcPr>
            <w:tcW w:w="1629" w:type="dxa"/>
            <w:shd w:val="clear" w:color="auto" w:fill="FFFFFF" w:themeFill="background1"/>
            <w:vAlign w:val="center"/>
          </w:tcPr>
          <w:p w14:paraId="1201B6EB">
            <w:pPr>
              <w:spacing w:line="240" w:lineRule="auto"/>
              <w:jc w:val="left"/>
              <w:rPr>
                <w:rFonts w:ascii="宋体" w:hAnsi="宋体"/>
                <w:bCs/>
                <w:sz w:val="18"/>
                <w:szCs w:val="18"/>
              </w:rPr>
            </w:pPr>
            <w:r>
              <w:rPr>
                <w:rFonts w:ascii="宋体" w:hAnsi="宋体"/>
                <w:bCs/>
                <w:sz w:val="18"/>
                <w:szCs w:val="18"/>
              </w:rPr>
              <w:t>能力提升类</w:t>
            </w:r>
          </w:p>
        </w:tc>
        <w:tc>
          <w:tcPr>
            <w:tcW w:w="3165" w:type="dxa"/>
            <w:shd w:val="clear" w:color="auto" w:fill="FFFFFF" w:themeFill="background1"/>
            <w:vAlign w:val="center"/>
          </w:tcPr>
          <w:p w14:paraId="66D30925">
            <w:pPr>
              <w:spacing w:line="240" w:lineRule="auto"/>
              <w:jc w:val="left"/>
              <w:rPr>
                <w:rFonts w:ascii="宋体" w:hAnsi="宋体"/>
                <w:bCs/>
                <w:sz w:val="18"/>
                <w:szCs w:val="18"/>
              </w:rPr>
            </w:pPr>
            <w:r>
              <w:rPr>
                <w:rFonts w:ascii="宋体" w:hAnsi="宋体"/>
                <w:bCs/>
                <w:sz w:val="18"/>
                <w:szCs w:val="18"/>
              </w:rPr>
              <w:t>· 质量培训覆盖率100%（关键岗位）</w:t>
            </w:r>
            <w:r>
              <w:rPr>
                <w:rFonts w:ascii="宋体" w:hAnsi="宋体"/>
                <w:bCs/>
                <w:sz w:val="18"/>
                <w:szCs w:val="18"/>
              </w:rPr>
              <w:br w:type="textWrapping"/>
            </w:r>
            <w:r>
              <w:rPr>
                <w:rFonts w:ascii="宋体" w:hAnsi="宋体"/>
                <w:bCs/>
                <w:sz w:val="18"/>
                <w:szCs w:val="18"/>
              </w:rPr>
              <w:t>· 培训后考核合格率≥90%</w:t>
            </w:r>
            <w:r>
              <w:rPr>
                <w:rFonts w:ascii="宋体" w:hAnsi="宋体"/>
                <w:bCs/>
                <w:sz w:val="18"/>
                <w:szCs w:val="18"/>
              </w:rPr>
              <w:br w:type="textWrapping"/>
            </w:r>
            <w:r>
              <w:rPr>
                <w:rFonts w:ascii="宋体" w:hAnsi="宋体"/>
                <w:bCs/>
                <w:sz w:val="18"/>
                <w:szCs w:val="18"/>
              </w:rPr>
              <w:t>· 质量意识满意度评分≥4分（5分制）</w:t>
            </w:r>
          </w:p>
        </w:tc>
        <w:tc>
          <w:tcPr>
            <w:tcW w:w="2078" w:type="dxa"/>
            <w:shd w:val="clear" w:color="auto" w:fill="FFFFFF" w:themeFill="background1"/>
            <w:vAlign w:val="center"/>
          </w:tcPr>
          <w:p w14:paraId="4912BDFD">
            <w:pPr>
              <w:spacing w:line="240" w:lineRule="auto"/>
              <w:jc w:val="left"/>
              <w:rPr>
                <w:rFonts w:ascii="宋体" w:hAnsi="宋体"/>
                <w:bCs/>
                <w:sz w:val="18"/>
                <w:szCs w:val="18"/>
              </w:rPr>
            </w:pPr>
            <w:r>
              <w:rPr>
                <w:rFonts w:ascii="宋体" w:hAnsi="宋体"/>
                <w:bCs/>
                <w:sz w:val="18"/>
                <w:szCs w:val="18"/>
              </w:rPr>
              <w:t>参训人数/应训人数×100%</w:t>
            </w:r>
            <w:r>
              <w:rPr>
                <w:rFonts w:ascii="宋体" w:hAnsi="宋体"/>
                <w:bCs/>
                <w:sz w:val="18"/>
                <w:szCs w:val="18"/>
              </w:rPr>
              <w:br w:type="textWrapping"/>
            </w:r>
            <w:r>
              <w:rPr>
                <w:rFonts w:ascii="宋体" w:hAnsi="宋体"/>
                <w:bCs/>
                <w:sz w:val="18"/>
                <w:szCs w:val="18"/>
              </w:rPr>
              <w:t>考核合格人数/参训人数×100%</w:t>
            </w:r>
          </w:p>
        </w:tc>
        <w:tc>
          <w:tcPr>
            <w:tcW w:w="2078" w:type="dxa"/>
            <w:shd w:val="clear" w:color="auto" w:fill="FFFFFF" w:themeFill="background1"/>
            <w:vAlign w:val="center"/>
          </w:tcPr>
          <w:p w14:paraId="6F0F5BD0">
            <w:pPr>
              <w:spacing w:line="240" w:lineRule="auto"/>
              <w:jc w:val="left"/>
              <w:rPr>
                <w:rFonts w:ascii="宋体" w:hAnsi="宋体"/>
                <w:bCs/>
                <w:sz w:val="18"/>
                <w:szCs w:val="18"/>
              </w:rPr>
            </w:pPr>
            <w:r>
              <w:rPr>
                <w:rFonts w:ascii="宋体" w:hAnsi="宋体"/>
                <w:bCs/>
                <w:sz w:val="18"/>
                <w:szCs w:val="18"/>
              </w:rPr>
              <w:t>培训记录核查；访谈调研；问卷调查</w:t>
            </w:r>
          </w:p>
        </w:tc>
      </w:tr>
      <w:tr w14:paraId="40ABD7D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3" w:hRule="atLeast"/>
          <w:jc w:val="center"/>
        </w:trPr>
        <w:tc>
          <w:tcPr>
            <w:tcW w:w="1629" w:type="dxa"/>
            <w:shd w:val="clear" w:color="auto" w:fill="FFFFFF" w:themeFill="background1"/>
            <w:vAlign w:val="center"/>
          </w:tcPr>
          <w:p w14:paraId="75513455">
            <w:pPr>
              <w:spacing w:line="240" w:lineRule="auto"/>
              <w:jc w:val="left"/>
              <w:rPr>
                <w:rFonts w:ascii="宋体" w:hAnsi="宋体"/>
                <w:bCs/>
                <w:sz w:val="18"/>
                <w:szCs w:val="18"/>
              </w:rPr>
            </w:pPr>
            <w:r>
              <w:rPr>
                <w:rFonts w:ascii="宋体" w:hAnsi="宋体"/>
                <w:bCs/>
                <w:sz w:val="18"/>
                <w:szCs w:val="18"/>
              </w:rPr>
              <w:t>监管联动类</w:t>
            </w:r>
          </w:p>
        </w:tc>
        <w:tc>
          <w:tcPr>
            <w:tcW w:w="3165" w:type="dxa"/>
            <w:shd w:val="clear" w:color="auto" w:fill="FFFFFF" w:themeFill="background1"/>
            <w:vAlign w:val="center"/>
          </w:tcPr>
          <w:p w14:paraId="47518D86">
            <w:pPr>
              <w:spacing w:line="240" w:lineRule="auto"/>
              <w:jc w:val="left"/>
              <w:rPr>
                <w:rFonts w:ascii="宋体" w:hAnsi="宋体"/>
                <w:bCs/>
                <w:sz w:val="18"/>
                <w:szCs w:val="18"/>
              </w:rPr>
            </w:pPr>
            <w:r>
              <w:rPr>
                <w:rFonts w:ascii="宋体" w:hAnsi="宋体"/>
                <w:bCs/>
                <w:sz w:val="18"/>
                <w:szCs w:val="18"/>
              </w:rPr>
              <w:t>· 帮扶企业监督抽查合格率≥95%</w:t>
            </w:r>
            <w:r>
              <w:rPr>
                <w:rFonts w:ascii="宋体" w:hAnsi="宋体"/>
                <w:bCs/>
                <w:sz w:val="18"/>
                <w:szCs w:val="18"/>
              </w:rPr>
              <w:br w:type="textWrapping"/>
            </w:r>
            <w:r>
              <w:rPr>
                <w:rFonts w:ascii="宋体" w:hAnsi="宋体"/>
                <w:bCs/>
                <w:sz w:val="18"/>
                <w:szCs w:val="18"/>
              </w:rPr>
              <w:t>· 帮扶后监督抽查不合格率降低≥30%</w:t>
            </w:r>
            <w:r>
              <w:rPr>
                <w:rFonts w:ascii="宋体" w:hAnsi="宋体"/>
                <w:bCs/>
                <w:sz w:val="18"/>
                <w:szCs w:val="18"/>
              </w:rPr>
              <w:br w:type="textWrapping"/>
            </w:r>
            <w:r>
              <w:rPr>
                <w:rFonts w:ascii="宋体" w:hAnsi="宋体"/>
                <w:bCs/>
                <w:sz w:val="18"/>
                <w:szCs w:val="18"/>
              </w:rPr>
              <w:t>· 帮扶方案与监管线索匹配率≥90%</w:t>
            </w:r>
          </w:p>
        </w:tc>
        <w:tc>
          <w:tcPr>
            <w:tcW w:w="2078" w:type="dxa"/>
            <w:shd w:val="clear" w:color="auto" w:fill="FFFFFF" w:themeFill="background1"/>
            <w:vAlign w:val="center"/>
          </w:tcPr>
          <w:p w14:paraId="1EAF3635">
            <w:pPr>
              <w:spacing w:line="240" w:lineRule="auto"/>
              <w:jc w:val="left"/>
              <w:rPr>
                <w:rFonts w:ascii="宋体" w:hAnsi="宋体"/>
                <w:bCs/>
                <w:sz w:val="18"/>
                <w:szCs w:val="18"/>
              </w:rPr>
            </w:pPr>
            <w:r>
              <w:rPr>
                <w:rFonts w:ascii="宋体" w:hAnsi="宋体"/>
                <w:bCs/>
                <w:sz w:val="18"/>
                <w:szCs w:val="18"/>
              </w:rPr>
              <w:t>帮扶企业抽查合格数/帮扶企业总数×100%</w:t>
            </w:r>
            <w:r>
              <w:rPr>
                <w:rFonts w:ascii="宋体" w:hAnsi="宋体"/>
                <w:bCs/>
                <w:sz w:val="18"/>
                <w:szCs w:val="18"/>
              </w:rPr>
              <w:br w:type="textWrapping"/>
            </w:r>
            <w:r>
              <w:rPr>
                <w:rFonts w:ascii="宋体" w:hAnsi="宋体"/>
                <w:bCs/>
                <w:sz w:val="18"/>
                <w:szCs w:val="18"/>
              </w:rPr>
              <w:t>与帮扶前抽查数据对比</w:t>
            </w:r>
          </w:p>
        </w:tc>
        <w:tc>
          <w:tcPr>
            <w:tcW w:w="2078" w:type="dxa"/>
            <w:shd w:val="clear" w:color="auto" w:fill="FFFFFF" w:themeFill="background1"/>
            <w:vAlign w:val="center"/>
          </w:tcPr>
          <w:p w14:paraId="42BF51A4">
            <w:pPr>
              <w:spacing w:line="240" w:lineRule="auto"/>
              <w:jc w:val="left"/>
              <w:rPr>
                <w:rFonts w:ascii="宋体" w:hAnsi="宋体"/>
                <w:bCs/>
                <w:sz w:val="18"/>
                <w:szCs w:val="18"/>
              </w:rPr>
            </w:pPr>
            <w:r>
              <w:rPr>
                <w:rFonts w:ascii="宋体" w:hAnsi="宋体"/>
                <w:bCs/>
                <w:sz w:val="18"/>
                <w:szCs w:val="18"/>
              </w:rPr>
              <w:t>监督抽查结果汇总比对</w:t>
            </w:r>
            <w:r>
              <w:rPr>
                <w:rFonts w:ascii="宋体" w:hAnsi="宋体"/>
                <w:bCs/>
                <w:sz w:val="18"/>
                <w:szCs w:val="18"/>
              </w:rPr>
              <w:br w:type="textWrapping"/>
            </w:r>
            <w:r>
              <w:rPr>
                <w:rFonts w:ascii="宋体" w:hAnsi="宋体"/>
                <w:bCs/>
                <w:sz w:val="18"/>
                <w:szCs w:val="18"/>
              </w:rPr>
              <w:t>监管档案核查</w:t>
            </w:r>
          </w:p>
        </w:tc>
      </w:tr>
    </w:tbl>
    <w:p w14:paraId="647EF99A">
      <w:pPr>
        <w:pStyle w:val="183"/>
      </w:pPr>
      <w:r>
        <w:t>本附录为资料性附录，指标示例供参考，帮扶机构应结合辖区产业特点和年度监管重点，合理设定符合SMART原则（具体、可测量、可实现、相关、有时限）的量化目标。</w:t>
      </w:r>
    </w:p>
    <w:p w14:paraId="763A70CB">
      <w:pPr>
        <w:pStyle w:val="60"/>
        <w:ind w:firstLine="420"/>
      </w:pPr>
    </w:p>
    <w:p w14:paraId="3B061282">
      <w:pPr>
        <w:pStyle w:val="60"/>
        <w:ind w:firstLine="420"/>
      </w:pPr>
    </w:p>
    <w:p w14:paraId="7300DB51">
      <w:pPr>
        <w:pStyle w:val="60"/>
        <w:ind w:firstLine="420"/>
      </w:pPr>
    </w:p>
    <w:p w14:paraId="02EAA751">
      <w:pPr>
        <w:pStyle w:val="60"/>
        <w:ind w:firstLine="420"/>
      </w:pPr>
    </w:p>
    <w:p w14:paraId="7F218FAF">
      <w:pPr>
        <w:pStyle w:val="60"/>
        <w:ind w:firstLine="420"/>
      </w:pPr>
    </w:p>
    <w:p w14:paraId="459234CC">
      <w:pPr>
        <w:pStyle w:val="60"/>
        <w:ind w:firstLine="420"/>
      </w:pPr>
    </w:p>
    <w:p w14:paraId="15004935">
      <w:pPr>
        <w:pStyle w:val="60"/>
        <w:ind w:firstLine="420"/>
      </w:pPr>
    </w:p>
    <w:p w14:paraId="47053A97">
      <w:pPr>
        <w:pStyle w:val="60"/>
        <w:ind w:firstLine="420"/>
      </w:pPr>
    </w:p>
    <w:p w14:paraId="2EA57F82">
      <w:pPr>
        <w:pStyle w:val="60"/>
        <w:ind w:firstLine="420"/>
      </w:pPr>
    </w:p>
    <w:p w14:paraId="1E19711A">
      <w:pPr>
        <w:pStyle w:val="60"/>
        <w:ind w:firstLine="420"/>
      </w:pPr>
    </w:p>
    <w:p w14:paraId="61C3B913">
      <w:pPr>
        <w:pStyle w:val="202"/>
      </w:pPr>
      <w:bookmarkStart w:id="295" w:name="_Toc225243340"/>
      <w:bookmarkEnd w:id="295"/>
      <w:bookmarkStart w:id="296" w:name="_Toc225243744"/>
      <w:bookmarkEnd w:id="296"/>
      <w:bookmarkStart w:id="297" w:name="_Toc221540523"/>
      <w:bookmarkStart w:id="298" w:name="_Toc214287540"/>
      <w:bookmarkStart w:id="299" w:name="_Toc208504829"/>
    </w:p>
    <w:p w14:paraId="2C9FEE43">
      <w:pPr>
        <w:pStyle w:val="203"/>
      </w:pPr>
    </w:p>
    <w:p w14:paraId="0F89A3B5">
      <w:pPr>
        <w:pStyle w:val="60"/>
        <w:ind w:firstLine="420"/>
      </w:pPr>
    </w:p>
    <w:p w14:paraId="2E5A012A">
      <w:pPr>
        <w:pStyle w:val="60"/>
        <w:ind w:firstLine="420"/>
      </w:pPr>
    </w:p>
    <w:p w14:paraId="4DEB7AC1">
      <w:pPr>
        <w:pStyle w:val="60"/>
        <w:ind w:firstLine="420"/>
      </w:pPr>
    </w:p>
    <w:p w14:paraId="5DD1176D">
      <w:pPr>
        <w:pStyle w:val="60"/>
        <w:ind w:firstLine="420"/>
      </w:pPr>
    </w:p>
    <w:p w14:paraId="397C9E38">
      <w:pPr>
        <w:pStyle w:val="60"/>
        <w:ind w:firstLine="420"/>
      </w:pPr>
    </w:p>
    <w:p w14:paraId="7CCE9A37">
      <w:pPr>
        <w:pStyle w:val="60"/>
        <w:ind w:firstLine="420"/>
      </w:pPr>
    </w:p>
    <w:p w14:paraId="1CFF21F3">
      <w:pPr>
        <w:pStyle w:val="60"/>
        <w:ind w:firstLine="420"/>
      </w:pPr>
    </w:p>
    <w:p w14:paraId="521E3D55">
      <w:pPr>
        <w:pStyle w:val="80"/>
        <w:numPr>
          <w:ilvl w:val="255"/>
          <w:numId w:val="0"/>
        </w:numPr>
        <w:spacing w:after="120"/>
        <w:ind w:firstLine="210" w:firstLineChars="100"/>
      </w:pPr>
      <w:bookmarkStart w:id="300" w:name="_Toc228970003"/>
      <w:bookmarkStart w:id="301" w:name="_Toc228969885"/>
      <w:bookmarkStart w:id="302" w:name="_Toc228970121"/>
      <w:bookmarkStart w:id="303" w:name="_Toc228970197"/>
      <w:r>
        <w:rPr>
          <w:rStyle w:val="252"/>
          <w:rFonts w:hint="eastAsia"/>
        </w:rPr>
        <w:t xml:space="preserve">附  录  </w:t>
      </w:r>
      <w:r>
        <w:rPr>
          <w:rStyle w:val="252"/>
        </w:rPr>
        <w:t>E</w:t>
      </w:r>
      <w:r>
        <w:br w:type="textWrapping"/>
      </w:r>
      <w:r>
        <w:rPr>
          <w:rFonts w:hint="eastAsia"/>
        </w:rPr>
        <w:t>（资料性）</w:t>
      </w:r>
      <w:r>
        <w:br w:type="textWrapping"/>
      </w:r>
      <w:r>
        <w:rPr>
          <w:rFonts w:hint="eastAsia"/>
        </w:rPr>
        <w:t>帮扶工作记录表</w:t>
      </w:r>
      <w:bookmarkEnd w:id="300"/>
      <w:bookmarkEnd w:id="301"/>
      <w:bookmarkEnd w:id="302"/>
      <w:bookmarkEnd w:id="303"/>
    </w:p>
    <w:p w14:paraId="6D23CEDA">
      <w:pPr>
        <w:pStyle w:val="60"/>
        <w:ind w:firstLine="420"/>
        <w:rPr>
          <w:szCs w:val="21"/>
        </w:rPr>
      </w:pPr>
      <w:r>
        <w:rPr>
          <w:rFonts w:hint="eastAsia"/>
          <w:shd w:val="clear" w:color="auto" w:fill="FFFFFF"/>
        </w:rPr>
        <w:t>表E</w:t>
      </w:r>
      <w:r>
        <w:rPr>
          <w:shd w:val="clear" w:color="auto" w:fill="FFFFFF"/>
        </w:rPr>
        <w:t>.1</w:t>
      </w:r>
      <w:r>
        <w:rPr>
          <w:rFonts w:hint="eastAsia"/>
          <w:shd w:val="clear" w:color="auto" w:fill="FFFFFF"/>
        </w:rPr>
        <w:t>给出了帮扶</w:t>
      </w:r>
      <w:r>
        <w:rPr>
          <w:rFonts w:hint="eastAsia"/>
        </w:rPr>
        <w:t>工作记录表。</w:t>
      </w:r>
    </w:p>
    <w:p w14:paraId="11C36D65">
      <w:pPr>
        <w:pStyle w:val="81"/>
        <w:spacing w:before="120" w:after="120"/>
      </w:pPr>
      <w:r>
        <w:rPr>
          <w:rFonts w:hint="eastAsia" w:hAnsi="黑体"/>
          <w:shd w:val="clear" w:color="auto" w:fill="FFFFFF"/>
        </w:rPr>
        <w:t>帮扶</w:t>
      </w:r>
      <w:r>
        <w:rPr>
          <w:rFonts w:hint="eastAsia" w:hAnsi="黑体"/>
        </w:rPr>
        <w:t>工作记录表</w:t>
      </w:r>
    </w:p>
    <w:tbl>
      <w:tblPr>
        <w:tblStyle w:val="29"/>
        <w:tblW w:w="9665" w:type="dxa"/>
        <w:tblInd w:w="10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2323"/>
        <w:gridCol w:w="658"/>
        <w:gridCol w:w="1465"/>
        <w:gridCol w:w="3143"/>
      </w:tblGrid>
      <w:tr w14:paraId="390DE0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6" w:hRule="atLeast"/>
        </w:trPr>
        <w:tc>
          <w:tcPr>
            <w:tcW w:w="2076" w:type="dxa"/>
            <w:tcBorders>
              <w:top w:val="single" w:color="auto" w:sz="8" w:space="0"/>
              <w:left w:val="single" w:color="auto" w:sz="8" w:space="0"/>
              <w:bottom w:val="single" w:color="auto" w:sz="8" w:space="0"/>
              <w:right w:val="single" w:color="auto" w:sz="4" w:space="0"/>
            </w:tcBorders>
            <w:vAlign w:val="center"/>
          </w:tcPr>
          <w:p w14:paraId="11487A42">
            <w:pPr>
              <w:jc w:val="center"/>
              <w:rPr>
                <w:rFonts w:ascii="宋体" w:hAnsi="宋体"/>
                <w:sz w:val="18"/>
                <w:szCs w:val="18"/>
              </w:rPr>
            </w:pPr>
            <w:r>
              <w:rPr>
                <w:rFonts w:hint="eastAsia" w:ascii="宋体" w:hAnsi="宋体"/>
                <w:sz w:val="18"/>
                <w:szCs w:val="18"/>
              </w:rPr>
              <w:t>经营主体名称</w:t>
            </w:r>
          </w:p>
        </w:tc>
        <w:tc>
          <w:tcPr>
            <w:tcW w:w="2981" w:type="dxa"/>
            <w:gridSpan w:val="2"/>
            <w:tcBorders>
              <w:top w:val="single" w:color="auto" w:sz="8" w:space="0"/>
              <w:left w:val="single" w:color="auto" w:sz="4" w:space="0"/>
              <w:bottom w:val="single" w:color="auto" w:sz="8" w:space="0"/>
              <w:right w:val="single" w:color="auto" w:sz="4" w:space="0"/>
            </w:tcBorders>
            <w:vAlign w:val="center"/>
          </w:tcPr>
          <w:p w14:paraId="24870328">
            <w:pPr>
              <w:jc w:val="center"/>
              <w:rPr>
                <w:rFonts w:ascii="宋体" w:hAnsi="宋体"/>
                <w:sz w:val="18"/>
                <w:szCs w:val="18"/>
              </w:rPr>
            </w:pPr>
          </w:p>
        </w:tc>
        <w:tc>
          <w:tcPr>
            <w:tcW w:w="1465" w:type="dxa"/>
            <w:tcBorders>
              <w:top w:val="single" w:color="auto" w:sz="8" w:space="0"/>
              <w:left w:val="single" w:color="auto" w:sz="4" w:space="0"/>
              <w:bottom w:val="single" w:color="auto" w:sz="8" w:space="0"/>
              <w:right w:val="single" w:color="auto" w:sz="4" w:space="0"/>
            </w:tcBorders>
            <w:vAlign w:val="center"/>
          </w:tcPr>
          <w:p w14:paraId="6A90CC74">
            <w:pPr>
              <w:jc w:val="center"/>
              <w:rPr>
                <w:rFonts w:ascii="宋体" w:hAnsi="宋体"/>
                <w:sz w:val="18"/>
                <w:szCs w:val="18"/>
              </w:rPr>
            </w:pPr>
            <w:r>
              <w:rPr>
                <w:rFonts w:hint="eastAsia" w:ascii="宋体" w:hAnsi="宋体"/>
                <w:sz w:val="18"/>
                <w:szCs w:val="18"/>
              </w:rPr>
              <w:t>地址</w:t>
            </w:r>
          </w:p>
        </w:tc>
        <w:tc>
          <w:tcPr>
            <w:tcW w:w="3143" w:type="dxa"/>
            <w:tcBorders>
              <w:top w:val="single" w:color="auto" w:sz="8" w:space="0"/>
              <w:left w:val="single" w:color="auto" w:sz="4" w:space="0"/>
              <w:bottom w:val="single" w:color="auto" w:sz="8" w:space="0"/>
              <w:right w:val="single" w:color="auto" w:sz="8" w:space="0"/>
            </w:tcBorders>
            <w:vAlign w:val="center"/>
          </w:tcPr>
          <w:p w14:paraId="50005D73">
            <w:pPr>
              <w:jc w:val="center"/>
              <w:rPr>
                <w:rFonts w:ascii="宋体" w:hAnsi="宋体"/>
                <w:sz w:val="18"/>
                <w:szCs w:val="18"/>
              </w:rPr>
            </w:pPr>
          </w:p>
        </w:tc>
      </w:tr>
      <w:tr w14:paraId="15A95B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2076" w:type="dxa"/>
            <w:tcBorders>
              <w:top w:val="single" w:color="auto" w:sz="8" w:space="0"/>
              <w:left w:val="single" w:color="auto" w:sz="8" w:space="0"/>
              <w:bottom w:val="single" w:color="auto" w:sz="4" w:space="0"/>
              <w:right w:val="single" w:color="auto" w:sz="4" w:space="0"/>
            </w:tcBorders>
            <w:vAlign w:val="center"/>
          </w:tcPr>
          <w:p w14:paraId="646721F7">
            <w:pPr>
              <w:jc w:val="center"/>
              <w:rPr>
                <w:rFonts w:ascii="宋体" w:hAnsi="宋体"/>
                <w:sz w:val="18"/>
                <w:szCs w:val="18"/>
              </w:rPr>
            </w:pPr>
            <w:r>
              <w:rPr>
                <w:rFonts w:hint="eastAsia" w:ascii="宋体" w:hAnsi="宋体"/>
                <w:sz w:val="18"/>
                <w:szCs w:val="18"/>
              </w:rPr>
              <w:t>联系人</w:t>
            </w:r>
          </w:p>
        </w:tc>
        <w:tc>
          <w:tcPr>
            <w:tcW w:w="2981" w:type="dxa"/>
            <w:gridSpan w:val="2"/>
            <w:tcBorders>
              <w:top w:val="single" w:color="auto" w:sz="8" w:space="0"/>
              <w:left w:val="single" w:color="auto" w:sz="4" w:space="0"/>
              <w:bottom w:val="single" w:color="auto" w:sz="4" w:space="0"/>
              <w:right w:val="single" w:color="auto" w:sz="4" w:space="0"/>
            </w:tcBorders>
            <w:vAlign w:val="center"/>
          </w:tcPr>
          <w:p w14:paraId="638EEA4D">
            <w:pPr>
              <w:jc w:val="center"/>
              <w:rPr>
                <w:rFonts w:ascii="宋体" w:hAnsi="宋体"/>
                <w:sz w:val="18"/>
                <w:szCs w:val="18"/>
              </w:rPr>
            </w:pPr>
          </w:p>
        </w:tc>
        <w:tc>
          <w:tcPr>
            <w:tcW w:w="1465" w:type="dxa"/>
            <w:tcBorders>
              <w:top w:val="single" w:color="auto" w:sz="8" w:space="0"/>
              <w:left w:val="single" w:color="auto" w:sz="4" w:space="0"/>
              <w:bottom w:val="single" w:color="auto" w:sz="4" w:space="0"/>
              <w:right w:val="single" w:color="auto" w:sz="4" w:space="0"/>
            </w:tcBorders>
            <w:vAlign w:val="center"/>
          </w:tcPr>
          <w:p w14:paraId="7CBF898D">
            <w:pPr>
              <w:jc w:val="center"/>
              <w:rPr>
                <w:rFonts w:ascii="宋体" w:hAnsi="宋体"/>
                <w:sz w:val="18"/>
                <w:szCs w:val="18"/>
              </w:rPr>
            </w:pPr>
            <w:r>
              <w:rPr>
                <w:rFonts w:hint="eastAsia" w:ascii="宋体" w:hAnsi="宋体"/>
                <w:sz w:val="18"/>
                <w:szCs w:val="18"/>
              </w:rPr>
              <w:t>联系电话</w:t>
            </w:r>
          </w:p>
        </w:tc>
        <w:tc>
          <w:tcPr>
            <w:tcW w:w="3143" w:type="dxa"/>
            <w:tcBorders>
              <w:top w:val="single" w:color="auto" w:sz="8" w:space="0"/>
              <w:left w:val="single" w:color="auto" w:sz="4" w:space="0"/>
              <w:bottom w:val="single" w:color="auto" w:sz="4" w:space="0"/>
              <w:right w:val="single" w:color="auto" w:sz="8" w:space="0"/>
            </w:tcBorders>
            <w:vAlign w:val="center"/>
          </w:tcPr>
          <w:p w14:paraId="5B0CD08B">
            <w:pPr>
              <w:jc w:val="center"/>
              <w:rPr>
                <w:rFonts w:ascii="宋体" w:hAnsi="宋体"/>
                <w:sz w:val="18"/>
                <w:szCs w:val="18"/>
              </w:rPr>
            </w:pPr>
          </w:p>
        </w:tc>
      </w:tr>
      <w:tr w14:paraId="02AA2E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2076" w:type="dxa"/>
            <w:tcBorders>
              <w:top w:val="single" w:color="auto" w:sz="4" w:space="0"/>
              <w:left w:val="single" w:color="auto" w:sz="8" w:space="0"/>
              <w:bottom w:val="single" w:color="auto" w:sz="4" w:space="0"/>
              <w:right w:val="single" w:color="auto" w:sz="4" w:space="0"/>
            </w:tcBorders>
            <w:vAlign w:val="center"/>
          </w:tcPr>
          <w:p w14:paraId="1D190941"/>
        </w:tc>
        <w:tc>
          <w:tcPr>
            <w:tcW w:w="2981" w:type="dxa"/>
            <w:gridSpan w:val="2"/>
            <w:tcBorders>
              <w:top w:val="single" w:color="auto" w:sz="4" w:space="0"/>
              <w:left w:val="single" w:color="auto" w:sz="4" w:space="0"/>
              <w:bottom w:val="single" w:color="auto" w:sz="4" w:space="0"/>
              <w:right w:val="single" w:color="auto" w:sz="4" w:space="0"/>
            </w:tcBorders>
            <w:vAlign w:val="center"/>
          </w:tcPr>
          <w:p w14:paraId="6484D269"/>
        </w:tc>
        <w:tc>
          <w:tcPr>
            <w:tcW w:w="1465" w:type="dxa"/>
            <w:tcBorders>
              <w:top w:val="single" w:color="auto" w:sz="4" w:space="0"/>
              <w:left w:val="single" w:color="auto" w:sz="4" w:space="0"/>
              <w:bottom w:val="single" w:color="auto" w:sz="4" w:space="0"/>
              <w:right w:val="single" w:color="auto" w:sz="4" w:space="0"/>
            </w:tcBorders>
            <w:vAlign w:val="center"/>
          </w:tcPr>
          <w:p w14:paraId="5688F124"/>
        </w:tc>
        <w:tc>
          <w:tcPr>
            <w:tcW w:w="3143" w:type="dxa"/>
            <w:tcBorders>
              <w:top w:val="single" w:color="auto" w:sz="4" w:space="0"/>
              <w:left w:val="single" w:color="auto" w:sz="4" w:space="0"/>
              <w:bottom w:val="single" w:color="auto" w:sz="4" w:space="0"/>
              <w:right w:val="single" w:color="auto" w:sz="8" w:space="0"/>
            </w:tcBorders>
            <w:vAlign w:val="center"/>
          </w:tcPr>
          <w:p w14:paraId="5E97DA9A"/>
        </w:tc>
      </w:tr>
      <w:tr w14:paraId="7B5251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2076" w:type="dxa"/>
            <w:tcBorders>
              <w:top w:val="single" w:color="auto" w:sz="4" w:space="0"/>
              <w:left w:val="single" w:color="auto" w:sz="8" w:space="0"/>
              <w:bottom w:val="single" w:color="auto" w:sz="4" w:space="0"/>
              <w:right w:val="single" w:color="auto" w:sz="4" w:space="0"/>
            </w:tcBorders>
            <w:vAlign w:val="center"/>
          </w:tcPr>
          <w:p w14:paraId="55CE39F4"/>
        </w:tc>
        <w:tc>
          <w:tcPr>
            <w:tcW w:w="7589" w:type="dxa"/>
            <w:gridSpan w:val="4"/>
            <w:tcBorders>
              <w:top w:val="single" w:color="auto" w:sz="4" w:space="0"/>
              <w:left w:val="single" w:color="auto" w:sz="4" w:space="0"/>
              <w:bottom w:val="single" w:color="auto" w:sz="4" w:space="0"/>
              <w:right w:val="single" w:color="auto" w:sz="8" w:space="0"/>
            </w:tcBorders>
            <w:vAlign w:val="center"/>
          </w:tcPr>
          <w:p w14:paraId="639236EF"/>
        </w:tc>
      </w:tr>
      <w:tr w14:paraId="4FE088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2076" w:type="dxa"/>
            <w:tcBorders>
              <w:top w:val="single" w:color="auto" w:sz="4" w:space="0"/>
              <w:left w:val="single" w:color="auto" w:sz="8" w:space="0"/>
              <w:bottom w:val="single" w:color="auto" w:sz="4" w:space="0"/>
              <w:right w:val="single" w:color="auto" w:sz="4" w:space="0"/>
            </w:tcBorders>
            <w:vAlign w:val="center"/>
          </w:tcPr>
          <w:p w14:paraId="201C0386">
            <w:pPr>
              <w:jc w:val="center"/>
              <w:rPr>
                <w:rFonts w:ascii="宋体" w:hAnsi="宋体"/>
                <w:sz w:val="18"/>
                <w:szCs w:val="18"/>
              </w:rPr>
            </w:pPr>
            <w:r>
              <w:rPr>
                <w:rFonts w:hint="eastAsia" w:ascii="宋体" w:hAnsi="宋体"/>
                <w:sz w:val="18"/>
                <w:szCs w:val="18"/>
              </w:rPr>
              <w:t>专家组成员</w:t>
            </w:r>
          </w:p>
        </w:tc>
        <w:tc>
          <w:tcPr>
            <w:tcW w:w="2981" w:type="dxa"/>
            <w:gridSpan w:val="2"/>
            <w:tcBorders>
              <w:top w:val="single" w:color="auto" w:sz="4" w:space="0"/>
              <w:left w:val="single" w:color="auto" w:sz="4" w:space="0"/>
              <w:bottom w:val="single" w:color="auto" w:sz="4" w:space="0"/>
              <w:right w:val="single" w:color="auto" w:sz="4" w:space="0"/>
            </w:tcBorders>
            <w:vAlign w:val="center"/>
          </w:tcPr>
          <w:p w14:paraId="6DBFFCF9">
            <w:pPr>
              <w:jc w:val="center"/>
              <w:rPr>
                <w:rFonts w:ascii="宋体" w:hAnsi="宋体"/>
                <w:sz w:val="18"/>
                <w:szCs w:val="18"/>
              </w:rPr>
            </w:pPr>
          </w:p>
        </w:tc>
        <w:tc>
          <w:tcPr>
            <w:tcW w:w="1465" w:type="dxa"/>
            <w:tcBorders>
              <w:top w:val="single" w:color="auto" w:sz="4" w:space="0"/>
              <w:left w:val="single" w:color="auto" w:sz="4" w:space="0"/>
              <w:bottom w:val="single" w:color="auto" w:sz="4" w:space="0"/>
              <w:right w:val="single" w:color="auto" w:sz="4" w:space="0"/>
            </w:tcBorders>
            <w:vAlign w:val="center"/>
          </w:tcPr>
          <w:p w14:paraId="7958DFBA">
            <w:pPr>
              <w:jc w:val="center"/>
              <w:rPr>
                <w:rFonts w:ascii="宋体" w:hAnsi="宋体"/>
                <w:sz w:val="18"/>
                <w:szCs w:val="18"/>
              </w:rPr>
            </w:pPr>
            <w:r>
              <w:rPr>
                <w:rFonts w:hint="eastAsia" w:ascii="宋体" w:hAnsi="宋体"/>
                <w:sz w:val="18"/>
                <w:szCs w:val="18"/>
              </w:rPr>
              <w:t>走访时间</w:t>
            </w:r>
          </w:p>
        </w:tc>
        <w:tc>
          <w:tcPr>
            <w:tcW w:w="3143" w:type="dxa"/>
            <w:tcBorders>
              <w:top w:val="single" w:color="auto" w:sz="4" w:space="0"/>
              <w:left w:val="single" w:color="auto" w:sz="4" w:space="0"/>
              <w:bottom w:val="single" w:color="auto" w:sz="4" w:space="0"/>
              <w:right w:val="single" w:color="auto" w:sz="8" w:space="0"/>
            </w:tcBorders>
            <w:vAlign w:val="center"/>
          </w:tcPr>
          <w:p w14:paraId="618BEBC3">
            <w:pPr>
              <w:jc w:val="center"/>
              <w:rPr>
                <w:rFonts w:ascii="宋体" w:hAnsi="宋体"/>
                <w:sz w:val="18"/>
                <w:szCs w:val="18"/>
              </w:rPr>
            </w:pPr>
          </w:p>
        </w:tc>
      </w:tr>
      <w:tr w14:paraId="32515B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3" w:hRule="atLeast"/>
        </w:trPr>
        <w:tc>
          <w:tcPr>
            <w:tcW w:w="9665" w:type="dxa"/>
            <w:gridSpan w:val="5"/>
            <w:tcBorders>
              <w:top w:val="single" w:color="auto" w:sz="4" w:space="0"/>
              <w:left w:val="single" w:color="auto" w:sz="8" w:space="0"/>
              <w:bottom w:val="single" w:color="auto" w:sz="4" w:space="0"/>
              <w:right w:val="single" w:color="auto" w:sz="8" w:space="0"/>
            </w:tcBorders>
            <w:vAlign w:val="center"/>
          </w:tcPr>
          <w:p w14:paraId="73D44B15">
            <w:pPr>
              <w:jc w:val="center"/>
              <w:rPr>
                <w:rFonts w:ascii="宋体" w:hAnsi="宋体"/>
                <w:sz w:val="18"/>
                <w:szCs w:val="18"/>
              </w:rPr>
            </w:pPr>
            <w:r>
              <w:rPr>
                <w:rFonts w:hint="eastAsia" w:ascii="宋体" w:hAnsi="宋体"/>
                <w:b/>
                <w:bCs/>
                <w:sz w:val="18"/>
                <w:szCs w:val="18"/>
              </w:rPr>
              <w:t xml:space="preserve"> 帮扶工作记录</w:t>
            </w:r>
          </w:p>
        </w:tc>
      </w:tr>
      <w:tr w14:paraId="5C01CC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4399" w:type="dxa"/>
            <w:gridSpan w:val="2"/>
            <w:tcBorders>
              <w:top w:val="single" w:color="auto" w:sz="4" w:space="0"/>
              <w:left w:val="single" w:color="auto" w:sz="8" w:space="0"/>
              <w:bottom w:val="single" w:color="auto" w:sz="4" w:space="0"/>
              <w:right w:val="single" w:color="auto" w:sz="4" w:space="0"/>
            </w:tcBorders>
            <w:vAlign w:val="center"/>
          </w:tcPr>
          <w:p w14:paraId="763760E7">
            <w:pPr>
              <w:rPr>
                <w:rFonts w:ascii="宋体" w:hAnsi="宋体"/>
                <w:sz w:val="18"/>
                <w:szCs w:val="18"/>
              </w:rPr>
            </w:pPr>
            <w:r>
              <w:rPr>
                <w:rFonts w:hint="eastAsia" w:ascii="宋体" w:hAnsi="宋体"/>
                <w:sz w:val="18"/>
                <w:szCs w:val="18"/>
              </w:rPr>
              <w:t>一、质量问题诊断</w:t>
            </w:r>
          </w:p>
        </w:tc>
        <w:tc>
          <w:tcPr>
            <w:tcW w:w="5266" w:type="dxa"/>
            <w:gridSpan w:val="3"/>
            <w:tcBorders>
              <w:top w:val="single" w:color="auto" w:sz="4" w:space="0"/>
              <w:left w:val="single" w:color="auto" w:sz="4" w:space="0"/>
              <w:bottom w:val="single" w:color="auto" w:sz="4" w:space="0"/>
              <w:right w:val="single" w:color="auto" w:sz="8" w:space="0"/>
            </w:tcBorders>
            <w:vAlign w:val="center"/>
          </w:tcPr>
          <w:p w14:paraId="458D6252">
            <w:pPr>
              <w:ind w:firstLine="900" w:firstLineChars="500"/>
              <w:rPr>
                <w:rFonts w:ascii="宋体" w:hAnsi="宋体"/>
                <w:sz w:val="18"/>
                <w:szCs w:val="18"/>
              </w:rPr>
            </w:pPr>
            <w:r>
              <w:rPr>
                <w:rFonts w:hint="eastAsia" w:ascii="宋体" w:hAnsi="宋体"/>
                <w:sz w:val="18"/>
                <w:szCs w:val="18"/>
              </w:rPr>
              <w:t>□已完成        □待改进</w:t>
            </w:r>
          </w:p>
        </w:tc>
      </w:tr>
      <w:tr w14:paraId="76DEA1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665" w:type="dxa"/>
            <w:gridSpan w:val="5"/>
            <w:tcBorders>
              <w:top w:val="single" w:color="auto" w:sz="4" w:space="0"/>
              <w:left w:val="single" w:color="auto" w:sz="8" w:space="0"/>
              <w:bottom w:val="single" w:color="auto" w:sz="4" w:space="0"/>
              <w:right w:val="single" w:color="auto" w:sz="8" w:space="0"/>
            </w:tcBorders>
            <w:vAlign w:val="center"/>
          </w:tcPr>
          <w:p w14:paraId="4C1F00C7"/>
          <w:p w14:paraId="5C6DAEFA">
            <w:pPr>
              <w:rPr>
                <w:rFonts w:ascii="宋体" w:hAnsi="宋体"/>
                <w:sz w:val="18"/>
                <w:szCs w:val="18"/>
              </w:rPr>
            </w:pPr>
          </w:p>
        </w:tc>
      </w:tr>
      <w:tr w14:paraId="77425C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4399" w:type="dxa"/>
            <w:gridSpan w:val="2"/>
            <w:tcBorders>
              <w:top w:val="single" w:color="auto" w:sz="4" w:space="0"/>
              <w:left w:val="single" w:color="auto" w:sz="8" w:space="0"/>
              <w:bottom w:val="single" w:color="auto" w:sz="4" w:space="0"/>
              <w:right w:val="single" w:color="auto" w:sz="4" w:space="0"/>
            </w:tcBorders>
            <w:vAlign w:val="center"/>
          </w:tcPr>
          <w:p w14:paraId="55D7856A">
            <w:pPr>
              <w:rPr>
                <w:rFonts w:ascii="宋体" w:hAnsi="宋体"/>
                <w:sz w:val="18"/>
                <w:szCs w:val="18"/>
              </w:rPr>
            </w:pPr>
            <w:r>
              <w:rPr>
                <w:rFonts w:hint="eastAsia" w:ascii="宋体" w:hAnsi="宋体"/>
                <w:sz w:val="18"/>
                <w:szCs w:val="18"/>
              </w:rPr>
              <w:t>二、不合格产品处理情况</w:t>
            </w:r>
          </w:p>
        </w:tc>
        <w:tc>
          <w:tcPr>
            <w:tcW w:w="5266" w:type="dxa"/>
            <w:gridSpan w:val="3"/>
            <w:tcBorders>
              <w:top w:val="single" w:color="auto" w:sz="4" w:space="0"/>
              <w:left w:val="single" w:color="auto" w:sz="4" w:space="0"/>
              <w:bottom w:val="single" w:color="auto" w:sz="4" w:space="0"/>
              <w:right w:val="single" w:color="auto" w:sz="8" w:space="0"/>
            </w:tcBorders>
            <w:vAlign w:val="center"/>
          </w:tcPr>
          <w:p w14:paraId="4826100B">
            <w:pPr>
              <w:ind w:firstLine="900" w:firstLineChars="500"/>
              <w:rPr>
                <w:rFonts w:ascii="宋体" w:hAnsi="宋体"/>
                <w:sz w:val="18"/>
                <w:szCs w:val="18"/>
              </w:rPr>
            </w:pPr>
            <w:r>
              <w:rPr>
                <w:rFonts w:hint="eastAsia" w:ascii="宋体" w:hAnsi="宋体"/>
                <w:sz w:val="18"/>
                <w:szCs w:val="18"/>
              </w:rPr>
              <w:t>□已完成        □待改进</w:t>
            </w:r>
          </w:p>
        </w:tc>
      </w:tr>
      <w:tr w14:paraId="75052C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9665" w:type="dxa"/>
            <w:gridSpan w:val="5"/>
            <w:tcBorders>
              <w:top w:val="single" w:color="auto" w:sz="4" w:space="0"/>
              <w:left w:val="single" w:color="auto" w:sz="8" w:space="0"/>
              <w:bottom w:val="single" w:color="auto" w:sz="4" w:space="0"/>
              <w:right w:val="single" w:color="auto" w:sz="8" w:space="0"/>
            </w:tcBorders>
            <w:vAlign w:val="center"/>
          </w:tcPr>
          <w:p w14:paraId="47DDA0D1">
            <w:pPr>
              <w:rPr>
                <w:rFonts w:ascii="宋体" w:hAnsi="宋体"/>
                <w:sz w:val="18"/>
                <w:szCs w:val="18"/>
              </w:rPr>
            </w:pPr>
          </w:p>
          <w:p w14:paraId="1C6F4DB7">
            <w:pPr>
              <w:rPr>
                <w:rFonts w:ascii="宋体" w:hAnsi="宋体"/>
                <w:sz w:val="18"/>
                <w:szCs w:val="18"/>
              </w:rPr>
            </w:pPr>
          </w:p>
        </w:tc>
      </w:tr>
      <w:tr w14:paraId="0585C5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399" w:type="dxa"/>
            <w:gridSpan w:val="2"/>
            <w:tcBorders>
              <w:top w:val="single" w:color="auto" w:sz="4" w:space="0"/>
              <w:left w:val="single" w:color="auto" w:sz="8" w:space="0"/>
              <w:bottom w:val="single" w:color="auto" w:sz="4" w:space="0"/>
              <w:right w:val="single" w:color="auto" w:sz="4" w:space="0"/>
            </w:tcBorders>
            <w:vAlign w:val="center"/>
          </w:tcPr>
          <w:p w14:paraId="62897EEB">
            <w:pPr>
              <w:rPr>
                <w:rFonts w:ascii="宋体" w:hAnsi="宋体"/>
                <w:sz w:val="18"/>
                <w:szCs w:val="18"/>
              </w:rPr>
            </w:pPr>
            <w:r>
              <w:rPr>
                <w:rFonts w:hint="eastAsia" w:ascii="宋体" w:hAnsi="宋体"/>
                <w:sz w:val="18"/>
                <w:szCs w:val="18"/>
              </w:rPr>
              <w:t>三、产品质量问题整改措施及落实情况</w:t>
            </w:r>
          </w:p>
        </w:tc>
        <w:tc>
          <w:tcPr>
            <w:tcW w:w="5266" w:type="dxa"/>
            <w:gridSpan w:val="3"/>
            <w:tcBorders>
              <w:top w:val="single" w:color="auto" w:sz="4" w:space="0"/>
              <w:left w:val="single" w:color="auto" w:sz="4" w:space="0"/>
              <w:bottom w:val="single" w:color="auto" w:sz="4" w:space="0"/>
              <w:right w:val="single" w:color="auto" w:sz="8" w:space="0"/>
            </w:tcBorders>
            <w:vAlign w:val="center"/>
          </w:tcPr>
          <w:p w14:paraId="4FD6FBC6">
            <w:pPr>
              <w:ind w:firstLine="900" w:firstLineChars="500"/>
              <w:rPr>
                <w:rFonts w:ascii="宋体" w:hAnsi="宋体"/>
                <w:sz w:val="18"/>
                <w:szCs w:val="18"/>
              </w:rPr>
            </w:pPr>
            <w:r>
              <w:rPr>
                <w:rFonts w:hint="eastAsia" w:ascii="宋体" w:hAnsi="宋体"/>
                <w:sz w:val="18"/>
                <w:szCs w:val="18"/>
              </w:rPr>
              <w:t>□已完成        □待改进</w:t>
            </w:r>
          </w:p>
        </w:tc>
      </w:tr>
      <w:tr w14:paraId="73AB47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9665" w:type="dxa"/>
            <w:gridSpan w:val="5"/>
            <w:tcBorders>
              <w:top w:val="single" w:color="auto" w:sz="4" w:space="0"/>
              <w:left w:val="single" w:color="auto" w:sz="8" w:space="0"/>
              <w:bottom w:val="single" w:color="auto" w:sz="4" w:space="0"/>
              <w:right w:val="single" w:color="auto" w:sz="8" w:space="0"/>
            </w:tcBorders>
            <w:vAlign w:val="center"/>
          </w:tcPr>
          <w:p w14:paraId="77EA3EEA">
            <w:pPr>
              <w:rPr>
                <w:rFonts w:ascii="宋体" w:hAnsi="宋体"/>
                <w:sz w:val="18"/>
                <w:szCs w:val="18"/>
              </w:rPr>
            </w:pPr>
          </w:p>
          <w:p w14:paraId="707C829A">
            <w:pPr>
              <w:rPr>
                <w:rFonts w:ascii="宋体" w:hAnsi="宋体"/>
                <w:sz w:val="18"/>
                <w:szCs w:val="18"/>
              </w:rPr>
            </w:pPr>
          </w:p>
        </w:tc>
      </w:tr>
      <w:tr w14:paraId="78246B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399" w:type="dxa"/>
            <w:gridSpan w:val="2"/>
            <w:tcBorders>
              <w:top w:val="single" w:color="auto" w:sz="4" w:space="0"/>
              <w:left w:val="single" w:color="auto" w:sz="8" w:space="0"/>
              <w:bottom w:val="single" w:color="auto" w:sz="4" w:space="0"/>
              <w:right w:val="single" w:color="auto" w:sz="4" w:space="0"/>
            </w:tcBorders>
            <w:vAlign w:val="center"/>
          </w:tcPr>
          <w:p w14:paraId="0CF0646B">
            <w:pPr>
              <w:rPr>
                <w:rFonts w:ascii="宋体" w:hAnsi="宋体"/>
                <w:sz w:val="18"/>
                <w:szCs w:val="18"/>
              </w:rPr>
            </w:pPr>
            <w:r>
              <w:rPr>
                <w:rFonts w:hint="eastAsia" w:ascii="宋体" w:hAnsi="宋体"/>
                <w:sz w:val="18"/>
                <w:szCs w:val="18"/>
              </w:rPr>
              <w:t>四、管理提升改善情况</w:t>
            </w:r>
          </w:p>
        </w:tc>
        <w:tc>
          <w:tcPr>
            <w:tcW w:w="5266" w:type="dxa"/>
            <w:gridSpan w:val="3"/>
            <w:tcBorders>
              <w:top w:val="single" w:color="auto" w:sz="4" w:space="0"/>
              <w:left w:val="single" w:color="auto" w:sz="4" w:space="0"/>
              <w:bottom w:val="single" w:color="auto" w:sz="4" w:space="0"/>
              <w:right w:val="single" w:color="auto" w:sz="8" w:space="0"/>
            </w:tcBorders>
            <w:vAlign w:val="center"/>
          </w:tcPr>
          <w:p w14:paraId="7D4917D6">
            <w:pPr>
              <w:ind w:firstLine="900" w:firstLineChars="500"/>
              <w:rPr>
                <w:rFonts w:ascii="宋体" w:hAnsi="宋体"/>
                <w:sz w:val="18"/>
                <w:szCs w:val="18"/>
              </w:rPr>
            </w:pPr>
            <w:r>
              <w:rPr>
                <w:rFonts w:hint="eastAsia" w:ascii="宋体" w:hAnsi="宋体"/>
                <w:sz w:val="18"/>
                <w:szCs w:val="18"/>
              </w:rPr>
              <w:t>□已完成        □待改进</w:t>
            </w:r>
          </w:p>
        </w:tc>
      </w:tr>
      <w:tr w14:paraId="51924A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9665" w:type="dxa"/>
            <w:gridSpan w:val="5"/>
            <w:tcBorders>
              <w:top w:val="single" w:color="auto" w:sz="4" w:space="0"/>
              <w:left w:val="single" w:color="auto" w:sz="8" w:space="0"/>
              <w:bottom w:val="single" w:color="auto" w:sz="4" w:space="0"/>
              <w:right w:val="single" w:color="auto" w:sz="8" w:space="0"/>
            </w:tcBorders>
            <w:vAlign w:val="center"/>
          </w:tcPr>
          <w:p w14:paraId="282C74F8">
            <w:pPr>
              <w:rPr>
                <w:rFonts w:ascii="宋体" w:hAnsi="宋体"/>
                <w:sz w:val="18"/>
                <w:szCs w:val="18"/>
              </w:rPr>
            </w:pPr>
          </w:p>
          <w:p w14:paraId="4C90296E">
            <w:pPr>
              <w:rPr>
                <w:rFonts w:ascii="宋体" w:hAnsi="宋体"/>
                <w:sz w:val="18"/>
                <w:szCs w:val="18"/>
              </w:rPr>
            </w:pPr>
          </w:p>
        </w:tc>
      </w:tr>
      <w:tr w14:paraId="0406E5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4399" w:type="dxa"/>
            <w:gridSpan w:val="2"/>
            <w:tcBorders>
              <w:top w:val="single" w:color="auto" w:sz="4" w:space="0"/>
              <w:left w:val="single" w:color="auto" w:sz="8" w:space="0"/>
              <w:bottom w:val="single" w:color="auto" w:sz="4" w:space="0"/>
              <w:right w:val="single" w:color="auto" w:sz="4" w:space="0"/>
            </w:tcBorders>
            <w:vAlign w:val="center"/>
          </w:tcPr>
          <w:p w14:paraId="7450A056">
            <w:pPr>
              <w:rPr>
                <w:rFonts w:ascii="宋体" w:hAnsi="宋体"/>
                <w:sz w:val="18"/>
                <w:szCs w:val="18"/>
              </w:rPr>
            </w:pPr>
            <w:r>
              <w:rPr>
                <w:rFonts w:hint="eastAsia" w:ascii="宋体" w:hAnsi="宋体"/>
                <w:sz w:val="18"/>
                <w:szCs w:val="18"/>
              </w:rPr>
              <w:t>五、复查完成情况</w:t>
            </w:r>
          </w:p>
        </w:tc>
        <w:tc>
          <w:tcPr>
            <w:tcW w:w="5266" w:type="dxa"/>
            <w:gridSpan w:val="3"/>
            <w:tcBorders>
              <w:top w:val="single" w:color="auto" w:sz="4" w:space="0"/>
              <w:left w:val="single" w:color="auto" w:sz="4" w:space="0"/>
              <w:bottom w:val="single" w:color="auto" w:sz="4" w:space="0"/>
              <w:right w:val="single" w:color="auto" w:sz="8" w:space="0"/>
            </w:tcBorders>
            <w:vAlign w:val="center"/>
          </w:tcPr>
          <w:p w14:paraId="5423FF53">
            <w:pPr>
              <w:rPr>
                <w:rFonts w:ascii="宋体" w:hAnsi="宋体"/>
                <w:sz w:val="18"/>
                <w:szCs w:val="18"/>
              </w:rPr>
            </w:pPr>
            <w:r>
              <w:rPr>
                <w:rFonts w:hint="eastAsia" w:ascii="宋体" w:hAnsi="宋体"/>
                <w:sz w:val="18"/>
                <w:szCs w:val="18"/>
              </w:rPr>
              <w:t>□无需复查 □尚未复查 □复查合格 □复查不合格</w:t>
            </w:r>
          </w:p>
        </w:tc>
      </w:tr>
      <w:tr w14:paraId="39CFB7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9665" w:type="dxa"/>
            <w:gridSpan w:val="5"/>
            <w:tcBorders>
              <w:top w:val="single" w:color="auto" w:sz="4" w:space="0"/>
              <w:left w:val="single" w:color="auto" w:sz="8" w:space="0"/>
              <w:bottom w:val="single" w:color="auto" w:sz="4" w:space="0"/>
              <w:right w:val="single" w:color="auto" w:sz="8" w:space="0"/>
            </w:tcBorders>
            <w:vAlign w:val="center"/>
          </w:tcPr>
          <w:p w14:paraId="1793AB66">
            <w:pPr>
              <w:rPr>
                <w:rFonts w:ascii="宋体" w:hAnsi="宋体"/>
                <w:sz w:val="18"/>
                <w:szCs w:val="18"/>
              </w:rPr>
            </w:pPr>
          </w:p>
          <w:p w14:paraId="172321AD">
            <w:pPr>
              <w:rPr>
                <w:rFonts w:ascii="宋体" w:hAnsi="宋体"/>
                <w:sz w:val="18"/>
                <w:szCs w:val="18"/>
              </w:rPr>
            </w:pPr>
          </w:p>
        </w:tc>
      </w:tr>
      <w:tr w14:paraId="004B7F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9665" w:type="dxa"/>
            <w:gridSpan w:val="5"/>
            <w:tcBorders>
              <w:top w:val="single" w:color="auto" w:sz="4" w:space="0"/>
              <w:left w:val="single" w:color="auto" w:sz="8" w:space="0"/>
              <w:bottom w:val="single" w:color="auto" w:sz="4" w:space="0"/>
              <w:right w:val="single" w:color="auto" w:sz="8" w:space="0"/>
            </w:tcBorders>
          </w:tcPr>
          <w:p w14:paraId="70BE7DB0">
            <w:pPr>
              <w:rPr>
                <w:rFonts w:ascii="宋体" w:hAnsi="宋体"/>
                <w:sz w:val="18"/>
                <w:szCs w:val="18"/>
              </w:rPr>
            </w:pPr>
            <w:r>
              <w:rPr>
                <w:rFonts w:hint="eastAsia" w:ascii="宋体" w:hAnsi="宋体"/>
                <w:sz w:val="18"/>
                <w:szCs w:val="18"/>
              </w:rPr>
              <w:t>六、质量问题整改及质量帮扶建议：</w:t>
            </w:r>
          </w:p>
          <w:p w14:paraId="56E8B5E2">
            <w:pPr>
              <w:rPr>
                <w:rFonts w:ascii="宋体" w:hAnsi="宋体"/>
                <w:sz w:val="18"/>
                <w:szCs w:val="18"/>
              </w:rPr>
            </w:pPr>
            <w:r>
              <w:rPr>
                <w:rFonts w:hint="eastAsia" w:ascii="宋体" w:hAnsi="宋体"/>
                <w:sz w:val="18"/>
                <w:szCs w:val="18"/>
              </w:rPr>
              <w:t>1.</w:t>
            </w:r>
          </w:p>
          <w:p w14:paraId="38967D23">
            <w:pPr>
              <w:rPr>
                <w:rFonts w:ascii="宋体" w:hAnsi="宋体"/>
                <w:sz w:val="18"/>
                <w:szCs w:val="18"/>
              </w:rPr>
            </w:pPr>
            <w:r>
              <w:rPr>
                <w:rFonts w:hint="eastAsia" w:ascii="宋体" w:hAnsi="宋体"/>
                <w:sz w:val="18"/>
                <w:szCs w:val="18"/>
              </w:rPr>
              <w:t>2.</w:t>
            </w:r>
          </w:p>
        </w:tc>
      </w:tr>
      <w:tr w14:paraId="32EE6B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9665" w:type="dxa"/>
            <w:gridSpan w:val="5"/>
            <w:tcBorders>
              <w:top w:val="single" w:color="auto" w:sz="4" w:space="0"/>
              <w:left w:val="single" w:color="auto" w:sz="8" w:space="0"/>
              <w:bottom w:val="single" w:color="auto" w:sz="4" w:space="0"/>
              <w:right w:val="single" w:color="auto" w:sz="8" w:space="0"/>
            </w:tcBorders>
            <w:vAlign w:val="center"/>
          </w:tcPr>
          <w:p w14:paraId="6B7998F9">
            <w:pPr>
              <w:rPr>
                <w:rFonts w:ascii="宋体" w:hAnsi="宋体"/>
                <w:sz w:val="18"/>
                <w:szCs w:val="18"/>
              </w:rPr>
            </w:pPr>
            <w:r>
              <w:rPr>
                <w:rFonts w:hint="eastAsia" w:ascii="宋体" w:hAnsi="宋体"/>
                <w:sz w:val="18"/>
                <w:szCs w:val="18"/>
              </w:rPr>
              <w:t>七、经营主体产品质量改善/质量管理提升情况</w:t>
            </w:r>
          </w:p>
        </w:tc>
      </w:tr>
      <w:tr w14:paraId="7ECF72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9665" w:type="dxa"/>
            <w:gridSpan w:val="5"/>
            <w:tcBorders>
              <w:top w:val="single" w:color="auto" w:sz="4" w:space="0"/>
              <w:left w:val="single" w:color="auto" w:sz="8" w:space="0"/>
              <w:bottom w:val="single" w:color="auto" w:sz="8" w:space="0"/>
              <w:right w:val="single" w:color="auto" w:sz="8" w:space="0"/>
            </w:tcBorders>
            <w:vAlign w:val="center"/>
          </w:tcPr>
          <w:p w14:paraId="7FA52D80">
            <w:pPr>
              <w:rPr>
                <w:rFonts w:ascii="宋体" w:hAnsi="宋体"/>
                <w:sz w:val="18"/>
                <w:szCs w:val="18"/>
              </w:rPr>
            </w:pPr>
          </w:p>
        </w:tc>
      </w:tr>
    </w:tbl>
    <w:p w14:paraId="77571B96">
      <w:pPr>
        <w:pStyle w:val="60"/>
        <w:ind w:firstLine="420"/>
        <w:sectPr>
          <w:pgSz w:w="11906" w:h="16838"/>
          <w:pgMar w:top="1928" w:right="1134" w:bottom="1134" w:left="1134" w:header="1418" w:footer="1134" w:gutter="284"/>
          <w:cols w:space="425" w:num="1"/>
          <w:formProt w:val="0"/>
          <w:docGrid w:linePitch="312" w:charSpace="0"/>
        </w:sectPr>
      </w:pPr>
    </w:p>
    <w:bookmarkEnd w:id="227"/>
    <w:p w14:paraId="5396C7F8">
      <w:pPr>
        <w:pStyle w:val="67"/>
        <w:spacing w:after="156"/>
      </w:pPr>
      <w:bookmarkStart w:id="304" w:name="_Toc228970004"/>
      <w:bookmarkStart w:id="305" w:name="_Toc225243746"/>
      <w:bookmarkStart w:id="306" w:name="_Toc228970199"/>
      <w:bookmarkStart w:id="307" w:name="_Toc228970122"/>
      <w:bookmarkStart w:id="308" w:name="_Toc228969886"/>
      <w:bookmarkStart w:id="309" w:name="_Toc225243342"/>
      <w:bookmarkStart w:id="310" w:name="BookMark6"/>
      <w:r>
        <w:rPr>
          <w:rFonts w:hint="eastAsia"/>
          <w:spacing w:val="105"/>
        </w:rPr>
        <w:t>参考文</w:t>
      </w:r>
      <w:r>
        <w:rPr>
          <w:rFonts w:hint="eastAsia"/>
        </w:rPr>
        <w:t>献</w:t>
      </w:r>
      <w:bookmarkEnd w:id="297"/>
      <w:bookmarkEnd w:id="298"/>
      <w:bookmarkEnd w:id="299"/>
      <w:bookmarkEnd w:id="304"/>
      <w:bookmarkEnd w:id="305"/>
      <w:bookmarkEnd w:id="306"/>
      <w:bookmarkEnd w:id="307"/>
      <w:bookmarkEnd w:id="308"/>
      <w:bookmarkEnd w:id="309"/>
    </w:p>
    <w:p w14:paraId="5A826051">
      <w:pPr>
        <w:pStyle w:val="239"/>
        <w:numPr>
          <w:ilvl w:val="0"/>
          <w:numId w:val="39"/>
        </w:numPr>
        <w:ind w:firstLine="420" w:firstLineChars="200"/>
        <w:rPr>
          <w:rFonts w:ascii="宋体" w:hAnsi="宋体"/>
        </w:rPr>
      </w:pPr>
      <w:r>
        <w:rPr>
          <w:rFonts w:hint="eastAsia" w:ascii="宋体" w:hAnsi="宋体"/>
        </w:rPr>
        <w:t>《中华人民共和国产品质量法》（2018年中华人民共和国主席令第22号）</w:t>
      </w:r>
    </w:p>
    <w:p w14:paraId="56B5DA7E">
      <w:pPr>
        <w:pStyle w:val="239"/>
        <w:numPr>
          <w:ilvl w:val="0"/>
          <w:numId w:val="39"/>
        </w:numPr>
        <w:ind w:firstLine="420" w:firstLineChars="200"/>
        <w:rPr>
          <w:rFonts w:ascii="宋体" w:hAnsi="宋体"/>
        </w:rPr>
      </w:pPr>
      <w:r>
        <w:rPr>
          <w:rFonts w:hint="eastAsia" w:ascii="宋体" w:hAnsi="宋体"/>
        </w:rPr>
        <w:t>《质量发展纲要（2021-2035年）》（国务院印发）</w:t>
      </w:r>
    </w:p>
    <w:p w14:paraId="198BF02A">
      <w:pPr>
        <w:pStyle w:val="239"/>
        <w:numPr>
          <w:ilvl w:val="0"/>
          <w:numId w:val="39"/>
        </w:numPr>
        <w:ind w:firstLine="420" w:firstLineChars="200"/>
        <w:rPr>
          <w:rFonts w:ascii="宋体" w:hAnsi="宋体"/>
        </w:rPr>
      </w:pPr>
      <w:r>
        <w:rPr>
          <w:rFonts w:hint="eastAsia" w:ascii="宋体" w:hAnsi="宋体"/>
        </w:rPr>
        <w:t>《产品质量监督抽查管理暂行办法》（2019年国家市场监管总局令第18号）</w:t>
      </w:r>
    </w:p>
    <w:p w14:paraId="28892D50">
      <w:pPr>
        <w:pStyle w:val="239"/>
        <w:numPr>
          <w:ilvl w:val="0"/>
          <w:numId w:val="39"/>
        </w:numPr>
        <w:ind w:firstLine="420" w:firstLineChars="200"/>
        <w:rPr>
          <w:rFonts w:ascii="宋体" w:hAnsi="宋体"/>
        </w:rPr>
      </w:pPr>
      <w:r>
        <w:rPr>
          <w:rFonts w:hint="eastAsia" w:ascii="宋体" w:hAnsi="宋体"/>
        </w:rPr>
        <w:t>《工业产品生产单位落实质量安全主体责任监督管理规定》（2023年国家市场监管总局令第75号）</w:t>
      </w:r>
    </w:p>
    <w:p w14:paraId="319C166D">
      <w:pPr>
        <w:pStyle w:val="239"/>
        <w:numPr>
          <w:ilvl w:val="0"/>
          <w:numId w:val="39"/>
        </w:numPr>
        <w:ind w:firstLine="420" w:firstLineChars="200"/>
        <w:rPr>
          <w:rFonts w:ascii="宋体" w:hAnsi="宋体"/>
        </w:rPr>
      </w:pPr>
      <w:r>
        <w:rPr>
          <w:rFonts w:hint="eastAsia" w:ascii="宋体" w:hAnsi="宋体"/>
        </w:rPr>
        <w:t>《工业产品销售单位落实质量安全主体责任监督管理规定》（2023年国家市场监管总局令第76号）</w:t>
      </w:r>
    </w:p>
    <w:p w14:paraId="4C152E8F">
      <w:pPr>
        <w:pStyle w:val="239"/>
        <w:numPr>
          <w:ilvl w:val="0"/>
          <w:numId w:val="39"/>
        </w:numPr>
        <w:ind w:firstLine="420" w:firstLineChars="200"/>
        <w:rPr>
          <w:rFonts w:ascii="宋体" w:hAnsi="宋体"/>
        </w:rPr>
      </w:pPr>
      <w:r>
        <w:rPr>
          <w:rFonts w:hint="eastAsia" w:ascii="宋体" w:hAnsi="宋体"/>
        </w:rPr>
        <w:t>《中华人民共和国工业产品生产许可证管理条例实施办法》（202</w:t>
      </w:r>
      <w:r>
        <w:rPr>
          <w:rFonts w:ascii="宋体" w:hAnsi="宋体"/>
        </w:rPr>
        <w:t>5</w:t>
      </w:r>
      <w:r>
        <w:rPr>
          <w:rFonts w:hint="eastAsia" w:ascii="宋体" w:hAnsi="宋体"/>
        </w:rPr>
        <w:t>年国家市场监督管理总局令第</w:t>
      </w:r>
      <w:r>
        <w:rPr>
          <w:rFonts w:ascii="宋体" w:hAnsi="宋体"/>
        </w:rPr>
        <w:t>101</w:t>
      </w:r>
      <w:r>
        <w:rPr>
          <w:rFonts w:hint="eastAsia" w:ascii="宋体" w:hAnsi="宋体"/>
        </w:rPr>
        <w:t>号）</w:t>
      </w:r>
    </w:p>
    <w:p w14:paraId="63A8116B">
      <w:pPr>
        <w:pStyle w:val="239"/>
        <w:numPr>
          <w:ilvl w:val="0"/>
          <w:numId w:val="39"/>
        </w:numPr>
        <w:ind w:firstLine="420" w:firstLineChars="200"/>
        <w:rPr>
          <w:rFonts w:ascii="宋体" w:hAnsi="宋体"/>
        </w:rPr>
      </w:pPr>
      <w:r>
        <w:rPr>
          <w:rFonts w:hint="eastAsia" w:ascii="宋体" w:hAnsi="宋体"/>
        </w:rPr>
        <w:t>《市场监管总局办公厅关于印发&lt;质量技术帮扶“提质强企”三年行动方案&gt;（2023-2025年）的通知》（市监质监发〔2023〕92号）</w:t>
      </w:r>
    </w:p>
    <w:p w14:paraId="41B11E2C">
      <w:pPr>
        <w:pStyle w:val="239"/>
        <w:ind w:left="420"/>
        <w:rPr>
          <w:rFonts w:ascii="宋体" w:hAnsi="宋体"/>
        </w:rPr>
      </w:pPr>
    </w:p>
    <w:p w14:paraId="42DF51D4">
      <w:pPr>
        <w:pStyle w:val="239"/>
        <w:ind w:left="420"/>
        <w:rPr>
          <w:rFonts w:ascii="宋体" w:hAnsi="宋体"/>
        </w:rPr>
      </w:pPr>
    </w:p>
    <w:bookmarkEnd w:id="310"/>
    <w:p w14:paraId="0C5315AC">
      <w:pPr>
        <w:pStyle w:val="239"/>
        <w:ind w:left="420"/>
        <w:jc w:val="center"/>
      </w:pPr>
      <w:bookmarkStart w:id="311" w:name="BookMark8"/>
      <w:r>
        <w:drawing>
          <wp:inline distT="0" distB="0" distL="0" distR="0">
            <wp:extent cx="1485900" cy="317500"/>
            <wp:effectExtent l="0" t="0" r="0" b="6350"/>
            <wp:docPr id="384307509" name="图片 3"/>
            <wp:cNvGraphicFramePr/>
            <a:graphic xmlns:a="http://schemas.openxmlformats.org/drawingml/2006/main">
              <a:graphicData uri="http://schemas.openxmlformats.org/drawingml/2006/picture">
                <pic:pic xmlns:pic="http://schemas.openxmlformats.org/drawingml/2006/picture">
                  <pic:nvPicPr>
                    <pic:cNvPr id="384307509" name="图片 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311"/>
    </w:p>
    <w:sectPr>
      <w:pgSz w:w="11906" w:h="16838"/>
      <w:pgMar w:top="1928" w:right="1134" w:bottom="1134" w:left="1134" w:header="1418" w:footer="1134" w:gutter="284"/>
      <w:cols w:space="425" w:num="1"/>
      <w:formProt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MS Gothic">
    <w:panose1 w:val="020B0609070205080204"/>
    <w:charset w:val="80"/>
    <w:family w:val="modern"/>
    <w:pitch w:val="default"/>
    <w:sig w:usb0="E00002FF" w:usb1="6AC7FDFB" w:usb2="08000012" w:usb3="00000000" w:csb0="4002009F" w:csb1="DFD70000"/>
  </w:font>
  <w:font w:name="Adobe Arabic">
    <w:panose1 w:val="02040503050201020203"/>
    <w:charset w:val="00"/>
    <w:family w:val="auto"/>
    <w:pitch w:val="default"/>
    <w:sig w:usb0="8000202F" w:usb1="8000A04A" w:usb2="00000008" w:usb3="00000000" w:csb0="20000041" w:csb1="00000000"/>
  </w:font>
  <w:font w:name="汉仪中黑简">
    <w:panose1 w:val="02010609000101010101"/>
    <w:charset w:val="86"/>
    <w:family w:val="auto"/>
    <w:pitch w:val="default"/>
    <w:sig w:usb0="00000001" w:usb1="080E0800" w:usb2="00000002"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国标仿宋">
    <w:panose1 w:val="02000500000000000000"/>
    <w:charset w:val="86"/>
    <w:family w:val="auto"/>
    <w:pitch w:val="default"/>
    <w:sig w:usb0="A00002BF" w:usb1="38C77CFA" w:usb2="00000016" w:usb3="00000000" w:csb0="00040000" w:csb1="00000000"/>
  </w:font>
  <w:font w:name="国标仿宋-GB/T 2312">
    <w:panose1 w:val="02000500000000000000"/>
    <w:charset w:val="86"/>
    <w:family w:val="auto"/>
    <w:pitch w:val="default"/>
    <w:sig w:usb0="800002AF" w:usb1="08476CF8" w:usb2="00000010" w:usb3="00000000" w:csb0="00040000" w:csb1="00000000"/>
  </w:font>
  <w:font w:name="国标宋体-超大字符集">
    <w:panose1 w:val="03000509000000000000"/>
    <w:charset w:val="86"/>
    <w:family w:val="auto"/>
    <w:pitch w:val="default"/>
    <w:sig w:usb0="00000001" w:usb1="08000000" w:usb2="00000000" w:usb3="00000000" w:csb0="00040001" w:csb1="00000000"/>
  </w:font>
  <w:font w:name="方正宋体S-超大字符集">
    <w:panose1 w:val="02000000000000000000"/>
    <w:charset w:val="86"/>
    <w:family w:val="auto"/>
    <w:pitch w:val="default"/>
    <w:sig w:usb0="00000001" w:usb1="08000000" w:usb2="00000000" w:usb3="00000000" w:csb0="00040000" w:csb1="00000000"/>
  </w:font>
  <w:font w:name="国标小标宋">
    <w:panose1 w:val="02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E9DAD">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E3A12">
    <w:pPr>
      <w:pStyle w:val="18"/>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65978">
    <w:pPr>
      <w:pStyle w:val="18"/>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EEE9E">
    <w:pPr>
      <w:pStyle w:val="56"/>
    </w:pPr>
    <w:r>
      <w:fldChar w:fldCharType="begin"/>
    </w:r>
    <w:r>
      <w:instrText xml:space="preserve">PAGE   \* MERGEFORMAT</w:instrText>
    </w:r>
    <w:r>
      <w:fldChar w:fldCharType="separate"/>
    </w:r>
    <w:r>
      <w:rPr>
        <w:lang w:val="zh-CN"/>
      </w:rPr>
      <w:t>II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A16B4">
    <w:pPr>
      <w:pStyle w:val="56"/>
    </w:pPr>
    <w:r>
      <w:fldChar w:fldCharType="begin"/>
    </w:r>
    <w:r>
      <w:instrText xml:space="preserve">PAGE   \* MERGEFORMAT</w:instrText>
    </w:r>
    <w:r>
      <w:fldChar w:fldCharType="separate"/>
    </w:r>
    <w:r>
      <w:rPr>
        <w:lang w:val="zh-CN"/>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67AD5">
    <w:pPr>
      <w:pStyle w:val="19"/>
      <w:wordWrap w:val="0"/>
      <w:jc w:val="right"/>
      <w:rPr>
        <w:rFonts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8579A">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0F091">
    <w:pPr>
      <w:pStyle w:val="19"/>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749DE">
    <w:pPr>
      <w:pStyle w:val="65"/>
    </w:pPr>
    <w:r>
      <w:fldChar w:fldCharType="begin"/>
    </w:r>
    <w:r>
      <w:instrText xml:space="preserve"> STYLEREF  标准文件_文件编号  \* MERGEFORMAT </w:instrText>
    </w:r>
    <w:r>
      <w:fldChar w:fldCharType="separate"/>
    </w:r>
    <w:r>
      <w:t>MR/T XXXXX—XXXX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5DD50">
    <w:pPr>
      <w:pStyle w:val="19"/>
      <w:jc w:val="right"/>
    </w:pPr>
    <w:r>
      <w:fldChar w:fldCharType="begin"/>
    </w:r>
    <w:r>
      <w:instrText xml:space="preserve"> STYLEREF  标准文件_文件编号  \* MERGEFORMAT </w:instrText>
    </w:r>
    <w:r>
      <w:fldChar w:fldCharType="separate"/>
    </w:r>
    <w:r>
      <w:t>MR/T XXXXX—XXXX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8"/>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3"/>
      <w:suff w:val="nothing"/>
      <w:lvlText w:val="%1%2.%3　"/>
      <w:lvlJc w:val="left"/>
      <w:pPr>
        <w:ind w:left="0" w:firstLine="0"/>
      </w:pPr>
    </w:lvl>
    <w:lvl w:ilvl="3" w:tentative="0">
      <w:start w:val="1"/>
      <w:numFmt w:val="decimal"/>
      <w:pStyle w:val="122"/>
      <w:suff w:val="nothing"/>
      <w:lvlText w:val="%1%2.%3.%4　"/>
      <w:lvlJc w:val="left"/>
      <w:pPr>
        <w:ind w:left="0" w:firstLine="0"/>
      </w:pPr>
    </w:lvl>
    <w:lvl w:ilvl="4" w:tentative="0">
      <w:start w:val="1"/>
      <w:numFmt w:val="decimal"/>
      <w:pStyle w:val="157"/>
      <w:suff w:val="nothing"/>
      <w:lvlText w:val="%1%2.%3.%4.%5　"/>
      <w:lvlJc w:val="left"/>
      <w:pPr>
        <w:ind w:left="0" w:firstLine="0"/>
      </w:pPr>
    </w:lvl>
    <w:lvl w:ilvl="5" w:tentative="0">
      <w:start w:val="1"/>
      <w:numFmt w:val="decimal"/>
      <w:pStyle w:val="159"/>
      <w:suff w:val="nothing"/>
      <w:lvlText w:val="%1%2.%3.%4.%5.%6　"/>
      <w:lvlJc w:val="left"/>
      <w:pPr>
        <w:ind w:left="0" w:firstLine="0"/>
      </w:pPr>
    </w:lvl>
    <w:lvl w:ilvl="6" w:tentative="0">
      <w:start w:val="1"/>
      <w:numFmt w:val="decimal"/>
      <w:pStyle w:val="162"/>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4"/>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93"/>
      <w:lvlText w:val="%1"/>
      <w:lvlJc w:val="left"/>
      <w:pPr>
        <w:ind w:left="425" w:hanging="425"/>
      </w:pPr>
      <w:rPr>
        <w:rFonts w:hint="eastAsia"/>
      </w:rPr>
    </w:lvl>
    <w:lvl w:ilvl="1" w:tentative="0">
      <w:start w:val="1"/>
      <w:numFmt w:val="decimal"/>
      <w:pStyle w:val="204"/>
      <w:suff w:val="nothing"/>
      <w:lvlText w:val="%10.%2 "/>
      <w:lvlJc w:val="left"/>
      <w:pPr>
        <w:ind w:left="0" w:firstLine="0"/>
      </w:pPr>
      <w:rPr>
        <w:rFonts w:hint="eastAsia" w:ascii="黑体" w:eastAsia="黑体" w:hAnsiTheme="minorHAnsi"/>
        <w:b w:val="0"/>
        <w:i w:val="0"/>
        <w:sz w:val="21"/>
      </w:rPr>
    </w:lvl>
    <w:lvl w:ilvl="2" w:tentative="0">
      <w:start w:val="1"/>
      <w:numFmt w:val="decimal"/>
      <w:pStyle w:val="205"/>
      <w:suff w:val="nothing"/>
      <w:lvlText w:val="%10.%2.%3 "/>
      <w:lvlJc w:val="left"/>
      <w:pPr>
        <w:ind w:left="0" w:firstLine="0"/>
      </w:pPr>
      <w:rPr>
        <w:rFonts w:hint="eastAsia" w:ascii="黑体" w:eastAsia="黑体" w:hAnsiTheme="minorHAnsi"/>
        <w:b w:val="0"/>
        <w:i w:val="0"/>
        <w:sz w:val="21"/>
      </w:rPr>
    </w:lvl>
    <w:lvl w:ilvl="3" w:tentative="0">
      <w:start w:val="1"/>
      <w:numFmt w:val="decimal"/>
      <w:pStyle w:val="206"/>
      <w:suff w:val="nothing"/>
      <w:lvlText w:val="%10.%2.%3.%4 "/>
      <w:lvlJc w:val="left"/>
      <w:pPr>
        <w:ind w:left="0" w:firstLine="0"/>
      </w:pPr>
      <w:rPr>
        <w:rFonts w:hint="eastAsia" w:ascii="黑体" w:eastAsia="黑体" w:hAnsiTheme="minorHAnsi"/>
        <w:b w:val="0"/>
        <w:i w:val="0"/>
        <w:sz w:val="21"/>
      </w:rPr>
    </w:lvl>
    <w:lvl w:ilvl="4" w:tentative="0">
      <w:start w:val="1"/>
      <w:numFmt w:val="decimal"/>
      <w:pStyle w:val="207"/>
      <w:suff w:val="nothing"/>
      <w:lvlText w:val="%10.%2.%3.%4.%5 "/>
      <w:lvlJc w:val="left"/>
      <w:pPr>
        <w:ind w:left="0" w:firstLine="0"/>
      </w:pPr>
      <w:rPr>
        <w:rFonts w:hint="eastAsia" w:ascii="黑体" w:eastAsia="黑体" w:hAnsiTheme="minorHAnsi"/>
        <w:b w:val="0"/>
        <w:i w:val="0"/>
        <w:sz w:val="21"/>
      </w:rPr>
    </w:lvl>
    <w:lvl w:ilvl="5" w:tentative="0">
      <w:start w:val="1"/>
      <w:numFmt w:val="decimal"/>
      <w:pStyle w:val="208"/>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5"/>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71"/>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73"/>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4"/>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89"/>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6"/>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6"/>
      <w:lvlText w:val="%1——"/>
      <w:lvlJc w:val="left"/>
      <w:pPr>
        <w:tabs>
          <w:tab w:val="left" w:pos="851"/>
        </w:tabs>
        <w:ind w:left="851" w:hanging="426"/>
      </w:pPr>
      <w:rPr>
        <w:rFonts w:hint="default" w:ascii="Times New Roman" w:hAnsi="Times New Roman" w:eastAsia="宋体" w:cs="Times New Roman"/>
        <w:b w:val="0"/>
        <w:i w:val="0"/>
        <w:sz w:val="21"/>
      </w:rPr>
    </w:lvl>
    <w:lvl w:ilvl="1" w:tentative="0">
      <w:start w:val="1"/>
      <w:numFmt w:val="none"/>
      <w:pStyle w:val="191"/>
      <w:lvlText w:val=""/>
      <w:lvlJc w:val="left"/>
      <w:pPr>
        <w:ind w:left="851" w:hanging="431"/>
      </w:pPr>
      <w:rPr>
        <w:rFonts w:hint="default" w:ascii="Symbol" w:hAnsi="Symbol"/>
        <w:sz w:val="21"/>
      </w:rPr>
    </w:lvl>
    <w:lvl w:ilvl="2" w:tentative="0">
      <w:start w:val="1"/>
      <w:numFmt w:val="bullet"/>
      <w:pStyle w:val="176"/>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5"/>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3DE54A18"/>
    <w:multiLevelType w:val="multilevel"/>
    <w:tmpl w:val="3DE54A18"/>
    <w:lvl w:ilvl="0" w:tentative="0">
      <w:start w:val="8"/>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3">
    <w:nsid w:val="44C50F90"/>
    <w:multiLevelType w:val="multilevel"/>
    <w:tmpl w:val="44C50F90"/>
    <w:lvl w:ilvl="0" w:tentative="0">
      <w:start w:val="1"/>
      <w:numFmt w:val="lowerLetter"/>
      <w:pStyle w:val="178"/>
      <w:lvlText w:val="%1)"/>
      <w:lvlJc w:val="left"/>
      <w:pPr>
        <w:tabs>
          <w:tab w:val="left" w:pos="851"/>
        </w:tabs>
        <w:ind w:left="851" w:hanging="426"/>
      </w:pPr>
      <w:rPr>
        <w:rFonts w:hint="eastAsia" w:ascii="宋体" w:hAnsi="Times New Roman" w:eastAsia="宋体"/>
        <w:sz w:val="21"/>
      </w:rPr>
    </w:lvl>
    <w:lvl w:ilvl="1" w:tentative="0">
      <w:start w:val="1"/>
      <w:numFmt w:val="decimal"/>
      <w:pStyle w:val="113"/>
      <w:lvlText w:val="%2)"/>
      <w:lvlJc w:val="left"/>
      <w:pPr>
        <w:tabs>
          <w:tab w:val="left" w:pos="1276"/>
        </w:tabs>
        <w:ind w:left="1276" w:hanging="425"/>
      </w:pPr>
      <w:rPr>
        <w:rFonts w:hint="eastAsia" w:ascii="宋体" w:hAnsi="Times New Roman" w:eastAsia="宋体"/>
        <w:sz w:val="21"/>
      </w:rPr>
    </w:lvl>
    <w:lvl w:ilvl="2" w:tentative="0">
      <w:start w:val="1"/>
      <w:numFmt w:val="decimal"/>
      <w:pStyle w:val="121"/>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4">
    <w:nsid w:val="48802D1C"/>
    <w:multiLevelType w:val="multilevel"/>
    <w:tmpl w:val="48802D1C"/>
    <w:lvl w:ilvl="0" w:tentative="0">
      <w:start w:val="1"/>
      <w:numFmt w:val="upperLetter"/>
      <w:pStyle w:val="202"/>
      <w:lvlText w:val="%1"/>
      <w:lvlJc w:val="left"/>
      <w:pPr>
        <w:ind w:left="420" w:hanging="420"/>
      </w:pPr>
      <w:rPr>
        <w:rFonts w:hint="eastAsia"/>
      </w:rPr>
    </w:lvl>
    <w:lvl w:ilvl="1" w:tentative="0">
      <w:start w:val="1"/>
      <w:numFmt w:val="decimal"/>
      <w:pStyle w:val="87"/>
      <w:suff w:val="space"/>
      <w:lvlText w:val="图%1.%2 "/>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5">
    <w:nsid w:val="4B733A5F"/>
    <w:multiLevelType w:val="multilevel"/>
    <w:tmpl w:val="4B733A5F"/>
    <w:lvl w:ilvl="0" w:tentative="0">
      <w:start w:val="1"/>
      <w:numFmt w:val="decimal"/>
      <w:pStyle w:val="187"/>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6">
    <w:nsid w:val="4E5D0534"/>
    <w:multiLevelType w:val="multilevel"/>
    <w:tmpl w:val="4E5D0534"/>
    <w:lvl w:ilvl="0" w:tentative="0">
      <w:start w:val="1"/>
      <w:numFmt w:val="decimal"/>
      <w:pStyle w:val="120"/>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7">
    <w:nsid w:val="54632751"/>
    <w:multiLevelType w:val="multilevel"/>
    <w:tmpl w:val="54632751"/>
    <w:lvl w:ilvl="0" w:tentative="0">
      <w:start w:val="1"/>
      <w:numFmt w:val="none"/>
      <w:pStyle w:val="97"/>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8">
    <w:nsid w:val="557C2AF5"/>
    <w:multiLevelType w:val="multilevel"/>
    <w:tmpl w:val="557C2AF5"/>
    <w:lvl w:ilvl="0" w:tentative="0">
      <w:start w:val="1"/>
      <w:numFmt w:val="decimal"/>
      <w:pStyle w:val="118"/>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9">
    <w:nsid w:val="5603797C"/>
    <w:multiLevelType w:val="multilevel"/>
    <w:tmpl w:val="5603797C"/>
    <w:lvl w:ilvl="0" w:tentative="0">
      <w:start w:val="1"/>
      <w:numFmt w:val="upperLetter"/>
      <w:pStyle w:val="203"/>
      <w:suff w:val="space"/>
      <w:lvlText w:val="%1"/>
      <w:lvlJc w:val="left"/>
      <w:pPr>
        <w:ind w:left="425" w:hanging="425"/>
      </w:pPr>
      <w:rPr>
        <w:rFonts w:hint="eastAsia"/>
      </w:rPr>
    </w:lvl>
    <w:lvl w:ilvl="1" w:tentative="0">
      <w:start w:val="1"/>
      <w:numFmt w:val="decimal"/>
      <w:pStyle w:val="81"/>
      <w:suff w:val="space"/>
      <w:lvlText w:val="表%1.%2 "/>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0">
    <w:nsid w:val="564D2089"/>
    <w:multiLevelType w:val="multilevel"/>
    <w:tmpl w:val="564D2089"/>
    <w:lvl w:ilvl="0" w:tentative="0">
      <w:start w:val="1"/>
      <w:numFmt w:val="none"/>
      <w:pStyle w:val="115"/>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57A808CB"/>
    <w:multiLevelType w:val="multilevel"/>
    <w:tmpl w:val="57A808CB"/>
    <w:lvl w:ilvl="0" w:tentative="0">
      <w:start w:val="1"/>
      <w:numFmt w:val="decimal"/>
      <w:suff w:val="space"/>
      <w:lvlText w:val="[%1]"/>
      <w:lvlJc w:val="left"/>
      <w:pPr>
        <w:ind w:left="0" w:firstLine="0"/>
      </w:pPr>
      <w:rPr>
        <w:rFonts w:hint="default" w:ascii="宋体" w:hAnsi="宋体" w:eastAsia="宋体"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644622F9"/>
    <w:multiLevelType w:val="multilevel"/>
    <w:tmpl w:val="644622F9"/>
    <w:lvl w:ilvl="0" w:tentative="0">
      <w:start w:val="1"/>
      <w:numFmt w:val="upperRoman"/>
      <w:pStyle w:val="172"/>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3">
    <w:nsid w:val="646260FA"/>
    <w:multiLevelType w:val="multilevel"/>
    <w:tmpl w:val="646260FA"/>
    <w:lvl w:ilvl="0" w:tentative="0">
      <w:start w:val="1"/>
      <w:numFmt w:val="decimal"/>
      <w:pStyle w:val="116"/>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4">
    <w:nsid w:val="654A26C9"/>
    <w:multiLevelType w:val="multilevel"/>
    <w:tmpl w:val="654A26C9"/>
    <w:lvl w:ilvl="0" w:tentative="0">
      <w:start w:val="1"/>
      <w:numFmt w:val="none"/>
      <w:pStyle w:val="193"/>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5">
    <w:nsid w:val="657D3FBC"/>
    <w:multiLevelType w:val="multilevel"/>
    <w:tmpl w:val="657D3FBC"/>
    <w:lvl w:ilvl="0" w:tentative="0">
      <w:start w:val="1"/>
      <w:numFmt w:val="upperLetter"/>
      <w:pStyle w:val="80"/>
      <w:suff w:val="nothing"/>
      <w:lvlText w:val="附录%1"/>
      <w:lvlJc w:val="left"/>
      <w:pPr>
        <w:ind w:left="3686" w:firstLine="0"/>
      </w:pPr>
      <w:rPr>
        <w:rFonts w:hint="eastAsia"/>
        <w:spacing w:val="100"/>
      </w:rPr>
    </w:lvl>
    <w:lvl w:ilvl="1" w:tentative="0">
      <w:start w:val="1"/>
      <w:numFmt w:val="decimal"/>
      <w:pStyle w:val="82"/>
      <w:suff w:val="nothing"/>
      <w:lvlText w:val="%1.%2　"/>
      <w:lvlJc w:val="left"/>
      <w:pPr>
        <w:ind w:left="0" w:firstLine="0"/>
      </w:pPr>
      <w:rPr>
        <w:rFonts w:hint="eastAsia" w:ascii="黑体" w:eastAsia="黑体"/>
        <w:b w:val="0"/>
        <w:i w:val="0"/>
        <w:sz w:val="21"/>
      </w:rPr>
    </w:lvl>
    <w:lvl w:ilvl="2" w:tentative="0">
      <w:start w:val="1"/>
      <w:numFmt w:val="decimal"/>
      <w:pStyle w:val="83"/>
      <w:suff w:val="nothing"/>
      <w:lvlText w:val="%1.%2.%3　"/>
      <w:lvlJc w:val="left"/>
      <w:pPr>
        <w:ind w:left="142" w:firstLine="0"/>
      </w:pPr>
      <w:rPr>
        <w:rFonts w:hint="eastAsia" w:ascii="黑体" w:eastAsia="黑体"/>
        <w:b w:val="0"/>
        <w:i w:val="0"/>
        <w:sz w:val="21"/>
      </w:rPr>
    </w:lvl>
    <w:lvl w:ilvl="3" w:tentative="0">
      <w:start w:val="1"/>
      <w:numFmt w:val="decimal"/>
      <w:pStyle w:val="85"/>
      <w:suff w:val="nothing"/>
      <w:lvlText w:val="%1.%2.%3.%4　"/>
      <w:lvlJc w:val="left"/>
      <w:pPr>
        <w:ind w:left="0" w:firstLine="0"/>
      </w:pPr>
      <w:rPr>
        <w:rFonts w:hint="eastAsia" w:ascii="黑体" w:eastAsia="黑体"/>
        <w:b w:val="0"/>
        <w:i w:val="0"/>
        <w:sz w:val="21"/>
      </w:rPr>
    </w:lvl>
    <w:lvl w:ilvl="4" w:tentative="0">
      <w:start w:val="1"/>
      <w:numFmt w:val="decimal"/>
      <w:pStyle w:val="86"/>
      <w:suff w:val="nothing"/>
      <w:lvlText w:val="%1.%2.%3.%4.%5　"/>
      <w:lvlJc w:val="left"/>
      <w:pPr>
        <w:ind w:left="0" w:firstLine="0"/>
      </w:pPr>
      <w:rPr>
        <w:rFonts w:hint="eastAsia" w:ascii="黑体" w:eastAsia="黑体"/>
        <w:b w:val="0"/>
        <w:i w:val="0"/>
        <w:sz w:val="21"/>
      </w:rPr>
    </w:lvl>
    <w:lvl w:ilvl="5" w:tentative="0">
      <w:start w:val="1"/>
      <w:numFmt w:val="decimal"/>
      <w:pStyle w:val="88"/>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6">
    <w:nsid w:val="69506ABF"/>
    <w:multiLevelType w:val="multilevel"/>
    <w:tmpl w:val="69506ABF"/>
    <w:lvl w:ilvl="0" w:tentative="0">
      <w:start w:val="1"/>
      <w:numFmt w:val="bullet"/>
      <w:pStyle w:val="192"/>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7">
    <w:nsid w:val="6CA41985"/>
    <w:multiLevelType w:val="multilevel"/>
    <w:tmpl w:val="6CA41985"/>
    <w:lvl w:ilvl="0" w:tentative="0">
      <w:start w:val="1"/>
      <w:numFmt w:val="decimal"/>
      <w:pStyle w:val="101"/>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6CE42AC1"/>
    <w:multiLevelType w:val="multilevel"/>
    <w:tmpl w:val="6CE42AC1"/>
    <w:lvl w:ilvl="0" w:tentative="0">
      <w:start w:val="1"/>
      <w:numFmt w:val="lowerLetter"/>
      <w:pStyle w:val="17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CEA2025"/>
    <w:multiLevelType w:val="multilevel"/>
    <w:tmpl w:val="6CEA2025"/>
    <w:lvl w:ilvl="0" w:tentative="0">
      <w:start w:val="1"/>
      <w:numFmt w:val="none"/>
      <w:pStyle w:val="156"/>
      <w:suff w:val="nothing"/>
      <w:lvlText w:val="%1"/>
      <w:lvlJc w:val="left"/>
      <w:pPr>
        <w:ind w:left="0" w:firstLine="0"/>
      </w:pPr>
      <w:rPr>
        <w:rFonts w:hint="eastAsia"/>
      </w:rPr>
    </w:lvl>
    <w:lvl w:ilvl="1" w:tentative="0">
      <w:start w:val="1"/>
      <w:numFmt w:val="decimal"/>
      <w:pStyle w:val="108"/>
      <w:suff w:val="nothing"/>
      <w:lvlText w:val="%1%2　"/>
      <w:lvlJc w:val="left"/>
      <w:pPr>
        <w:ind w:left="0" w:firstLine="0"/>
      </w:pPr>
      <w:rPr>
        <w:rFonts w:hint="eastAsia" w:ascii="黑体" w:eastAsia="黑体"/>
        <w:b w:val="0"/>
        <w:i w:val="0"/>
        <w:sz w:val="21"/>
      </w:rPr>
    </w:lvl>
    <w:lvl w:ilvl="2" w:tentative="0">
      <w:start w:val="1"/>
      <w:numFmt w:val="decimal"/>
      <w:pStyle w:val="109"/>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rPr>
    </w:lvl>
    <w:lvl w:ilvl="3" w:tentative="0">
      <w:start w:val="1"/>
      <w:numFmt w:val="decimal"/>
      <w:pStyle w:val="69"/>
      <w:suff w:val="nothing"/>
      <w:lvlText w:val="%1%2.%3.%4　"/>
      <w:lvlJc w:val="left"/>
      <w:pPr>
        <w:ind w:left="5812" w:firstLine="0"/>
      </w:pPr>
      <w:rPr>
        <w:rFonts w:hint="eastAsia" w:ascii="黑体" w:eastAsia="黑体"/>
        <w:b w:val="0"/>
        <w:i w:val="0"/>
        <w:sz w:val="21"/>
      </w:rPr>
    </w:lvl>
    <w:lvl w:ilvl="4" w:tentative="0">
      <w:start w:val="1"/>
      <w:numFmt w:val="decimal"/>
      <w:pStyle w:val="98"/>
      <w:suff w:val="nothing"/>
      <w:lvlText w:val="%1%2.%3.%4.%5　"/>
      <w:lvlJc w:val="left"/>
      <w:pPr>
        <w:ind w:left="0" w:firstLine="0"/>
      </w:pPr>
      <w:rPr>
        <w:rFonts w:hint="eastAsia" w:ascii="黑体" w:eastAsia="黑体"/>
        <w:b w:val="0"/>
        <w:i w:val="0"/>
        <w:sz w:val="21"/>
      </w:rPr>
    </w:lvl>
    <w:lvl w:ilvl="5" w:tentative="0">
      <w:start w:val="1"/>
      <w:numFmt w:val="decimal"/>
      <w:pStyle w:val="102"/>
      <w:suff w:val="nothing"/>
      <w:lvlText w:val="%1%2.%3.%4.%5.%6　"/>
      <w:lvlJc w:val="left"/>
      <w:pPr>
        <w:ind w:left="0" w:firstLine="0"/>
      </w:pPr>
      <w:rPr>
        <w:rFonts w:hint="eastAsia" w:ascii="黑体" w:eastAsia="黑体"/>
        <w:b w:val="0"/>
        <w:i w:val="0"/>
        <w:sz w:val="21"/>
      </w:rPr>
    </w:lvl>
    <w:lvl w:ilvl="6" w:tentative="0">
      <w:start w:val="1"/>
      <w:numFmt w:val="decimal"/>
      <w:pStyle w:val="107"/>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0">
    <w:nsid w:val="6DBF04F4"/>
    <w:multiLevelType w:val="multilevel"/>
    <w:tmpl w:val="6DBF04F4"/>
    <w:lvl w:ilvl="0" w:tentative="0">
      <w:start w:val="1"/>
      <w:numFmt w:val="none"/>
      <w:pStyle w:val="183"/>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1">
    <w:nsid w:val="6DF35F19"/>
    <w:multiLevelType w:val="multilevel"/>
    <w:tmpl w:val="6DF35F19"/>
    <w:lvl w:ilvl="0" w:tentative="0">
      <w:start w:val="1"/>
      <w:numFmt w:val="decimal"/>
      <w:pStyle w:val="119"/>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2">
    <w:nsid w:val="76933334"/>
    <w:multiLevelType w:val="multilevel"/>
    <w:tmpl w:val="76933334"/>
    <w:lvl w:ilvl="0" w:tentative="0">
      <w:start w:val="1"/>
      <w:numFmt w:val="none"/>
      <w:pStyle w:val="143"/>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9"/>
  </w:num>
  <w:num w:numId="3">
    <w:abstractNumId w:val="5"/>
  </w:num>
  <w:num w:numId="4">
    <w:abstractNumId w:val="25"/>
  </w:num>
  <w:num w:numId="5">
    <w:abstractNumId w:val="19"/>
  </w:num>
  <w:num w:numId="6">
    <w:abstractNumId w:val="14"/>
  </w:num>
  <w:num w:numId="7">
    <w:abstractNumId w:val="8"/>
  </w:num>
  <w:num w:numId="8">
    <w:abstractNumId w:val="3"/>
  </w:num>
  <w:num w:numId="9">
    <w:abstractNumId w:val="9"/>
  </w:num>
  <w:num w:numId="10">
    <w:abstractNumId w:val="17"/>
  </w:num>
  <w:num w:numId="11">
    <w:abstractNumId w:val="27"/>
  </w:num>
  <w:num w:numId="12">
    <w:abstractNumId w:val="11"/>
  </w:num>
  <w:num w:numId="13">
    <w:abstractNumId w:val="13"/>
  </w:num>
  <w:num w:numId="14">
    <w:abstractNumId w:val="7"/>
  </w:num>
  <w:num w:numId="15">
    <w:abstractNumId w:val="20"/>
  </w:num>
  <w:num w:numId="16">
    <w:abstractNumId w:val="23"/>
  </w:num>
  <w:num w:numId="17">
    <w:abstractNumId w:val="18"/>
  </w:num>
  <w:num w:numId="18">
    <w:abstractNumId w:val="31"/>
  </w:num>
  <w:num w:numId="19">
    <w:abstractNumId w:val="16"/>
  </w:num>
  <w:num w:numId="20">
    <w:abstractNumId w:val="1"/>
  </w:num>
  <w:num w:numId="21">
    <w:abstractNumId w:val="10"/>
  </w:num>
  <w:num w:numId="22">
    <w:abstractNumId w:val="32"/>
  </w:num>
  <w:num w:numId="23">
    <w:abstractNumId w:val="22"/>
  </w:num>
  <w:num w:numId="24">
    <w:abstractNumId w:val="6"/>
  </w:num>
  <w:num w:numId="25">
    <w:abstractNumId w:val="28"/>
  </w:num>
  <w:num w:numId="26">
    <w:abstractNumId w:val="30"/>
  </w:num>
  <w:num w:numId="27">
    <w:abstractNumId w:val="2"/>
  </w:num>
  <w:num w:numId="28">
    <w:abstractNumId w:val="4"/>
  </w:num>
  <w:num w:numId="29">
    <w:abstractNumId w:val="15"/>
  </w:num>
  <w:num w:numId="30">
    <w:abstractNumId w:val="26"/>
  </w:num>
  <w:num w:numId="31">
    <w:abstractNumId w:val="24"/>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forms"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599"/>
    <w:rsid w:val="0000040A"/>
    <w:rsid w:val="00000A94"/>
    <w:rsid w:val="00001972"/>
    <w:rsid w:val="00001D9A"/>
    <w:rsid w:val="000051C7"/>
    <w:rsid w:val="00007B3A"/>
    <w:rsid w:val="000107E0"/>
    <w:rsid w:val="00011FDE"/>
    <w:rsid w:val="00012DDE"/>
    <w:rsid w:val="00012FFD"/>
    <w:rsid w:val="00014162"/>
    <w:rsid w:val="00014340"/>
    <w:rsid w:val="00016A9C"/>
    <w:rsid w:val="00016B7A"/>
    <w:rsid w:val="00017F81"/>
    <w:rsid w:val="00022184"/>
    <w:rsid w:val="00022762"/>
    <w:rsid w:val="000238E0"/>
    <w:rsid w:val="000249DB"/>
    <w:rsid w:val="00024AE8"/>
    <w:rsid w:val="0002595E"/>
    <w:rsid w:val="00026259"/>
    <w:rsid w:val="000303C3"/>
    <w:rsid w:val="000331D3"/>
    <w:rsid w:val="000346A5"/>
    <w:rsid w:val="00035627"/>
    <w:rsid w:val="000359C3"/>
    <w:rsid w:val="00035A7D"/>
    <w:rsid w:val="000410E8"/>
    <w:rsid w:val="0004249A"/>
    <w:rsid w:val="00043282"/>
    <w:rsid w:val="00044286"/>
    <w:rsid w:val="000466A2"/>
    <w:rsid w:val="0004746E"/>
    <w:rsid w:val="00047F28"/>
    <w:rsid w:val="00047F8C"/>
    <w:rsid w:val="000503AA"/>
    <w:rsid w:val="000506A1"/>
    <w:rsid w:val="000515DD"/>
    <w:rsid w:val="0005265A"/>
    <w:rsid w:val="000539DD"/>
    <w:rsid w:val="00053BD3"/>
    <w:rsid w:val="000556ED"/>
    <w:rsid w:val="00055FE2"/>
    <w:rsid w:val="0005616F"/>
    <w:rsid w:val="00060C2E"/>
    <w:rsid w:val="00061033"/>
    <w:rsid w:val="000619E9"/>
    <w:rsid w:val="00061A13"/>
    <w:rsid w:val="000622D4"/>
    <w:rsid w:val="0006357D"/>
    <w:rsid w:val="00067F1E"/>
    <w:rsid w:val="00071CC0"/>
    <w:rsid w:val="0007229B"/>
    <w:rsid w:val="000731D2"/>
    <w:rsid w:val="00073C8C"/>
    <w:rsid w:val="00077B64"/>
    <w:rsid w:val="00080431"/>
    <w:rsid w:val="00080A1C"/>
    <w:rsid w:val="00082317"/>
    <w:rsid w:val="00083D2C"/>
    <w:rsid w:val="00086AA1"/>
    <w:rsid w:val="00087A77"/>
    <w:rsid w:val="00090CA6"/>
    <w:rsid w:val="0009161A"/>
    <w:rsid w:val="00092B8A"/>
    <w:rsid w:val="00092FB0"/>
    <w:rsid w:val="000934C5"/>
    <w:rsid w:val="00093D25"/>
    <w:rsid w:val="00093DAB"/>
    <w:rsid w:val="00094D73"/>
    <w:rsid w:val="00096D63"/>
    <w:rsid w:val="000A0B60"/>
    <w:rsid w:val="000A0EB8"/>
    <w:rsid w:val="000A19FC"/>
    <w:rsid w:val="000A296B"/>
    <w:rsid w:val="000A56A2"/>
    <w:rsid w:val="000A6A19"/>
    <w:rsid w:val="000A7311"/>
    <w:rsid w:val="000B060F"/>
    <w:rsid w:val="000B1592"/>
    <w:rsid w:val="000B1FF2"/>
    <w:rsid w:val="000B2186"/>
    <w:rsid w:val="000B3CDA"/>
    <w:rsid w:val="000B529A"/>
    <w:rsid w:val="000B6A0B"/>
    <w:rsid w:val="000C0F6C"/>
    <w:rsid w:val="000C0F9D"/>
    <w:rsid w:val="000C11DB"/>
    <w:rsid w:val="000C1492"/>
    <w:rsid w:val="000C1EE7"/>
    <w:rsid w:val="000C26BC"/>
    <w:rsid w:val="000C2FBD"/>
    <w:rsid w:val="000C4B41"/>
    <w:rsid w:val="000C57D6"/>
    <w:rsid w:val="000C598A"/>
    <w:rsid w:val="000C7666"/>
    <w:rsid w:val="000D0A9C"/>
    <w:rsid w:val="000D1795"/>
    <w:rsid w:val="000D2522"/>
    <w:rsid w:val="000D2F41"/>
    <w:rsid w:val="000D329A"/>
    <w:rsid w:val="000D4B9C"/>
    <w:rsid w:val="000D4EB6"/>
    <w:rsid w:val="000D753B"/>
    <w:rsid w:val="000D7BE4"/>
    <w:rsid w:val="000E4C9E"/>
    <w:rsid w:val="000E5227"/>
    <w:rsid w:val="000E6FD7"/>
    <w:rsid w:val="000F06E1"/>
    <w:rsid w:val="000F0E3C"/>
    <w:rsid w:val="000F19D5"/>
    <w:rsid w:val="000F4AEA"/>
    <w:rsid w:val="000F5222"/>
    <w:rsid w:val="000F66F8"/>
    <w:rsid w:val="000F67E9"/>
    <w:rsid w:val="00104926"/>
    <w:rsid w:val="00106FAD"/>
    <w:rsid w:val="00113B1E"/>
    <w:rsid w:val="0011711C"/>
    <w:rsid w:val="00120C69"/>
    <w:rsid w:val="001212EE"/>
    <w:rsid w:val="0012465D"/>
    <w:rsid w:val="00124E4F"/>
    <w:rsid w:val="001260B7"/>
    <w:rsid w:val="001265CB"/>
    <w:rsid w:val="0012704D"/>
    <w:rsid w:val="00127B21"/>
    <w:rsid w:val="001321C6"/>
    <w:rsid w:val="001325C4"/>
    <w:rsid w:val="00132A44"/>
    <w:rsid w:val="00133010"/>
    <w:rsid w:val="001338EE"/>
    <w:rsid w:val="00133AAE"/>
    <w:rsid w:val="00135323"/>
    <w:rsid w:val="001356C4"/>
    <w:rsid w:val="00141114"/>
    <w:rsid w:val="00142969"/>
    <w:rsid w:val="00142974"/>
    <w:rsid w:val="001457E7"/>
    <w:rsid w:val="00145D9D"/>
    <w:rsid w:val="00146388"/>
    <w:rsid w:val="001529E5"/>
    <w:rsid w:val="00153C7E"/>
    <w:rsid w:val="00156B25"/>
    <w:rsid w:val="00156E1A"/>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167"/>
    <w:rsid w:val="00176DFD"/>
    <w:rsid w:val="001831A9"/>
    <w:rsid w:val="001852C9"/>
    <w:rsid w:val="00190087"/>
    <w:rsid w:val="001913C4"/>
    <w:rsid w:val="0019348F"/>
    <w:rsid w:val="00193A07"/>
    <w:rsid w:val="00194C95"/>
    <w:rsid w:val="00194D07"/>
    <w:rsid w:val="00195C34"/>
    <w:rsid w:val="00197574"/>
    <w:rsid w:val="001977E3"/>
    <w:rsid w:val="001A1A53"/>
    <w:rsid w:val="001A234A"/>
    <w:rsid w:val="001B06E8"/>
    <w:rsid w:val="001B193E"/>
    <w:rsid w:val="001B508E"/>
    <w:rsid w:val="001B5711"/>
    <w:rsid w:val="001B70AB"/>
    <w:rsid w:val="001B71D0"/>
    <w:rsid w:val="001B71EE"/>
    <w:rsid w:val="001C04A8"/>
    <w:rsid w:val="001C2C03"/>
    <w:rsid w:val="001C42F7"/>
    <w:rsid w:val="001C49E5"/>
    <w:rsid w:val="001C680C"/>
    <w:rsid w:val="001C6CEF"/>
    <w:rsid w:val="001C7FEA"/>
    <w:rsid w:val="001D0499"/>
    <w:rsid w:val="001D0BBE"/>
    <w:rsid w:val="001D0ED4"/>
    <w:rsid w:val="001D212F"/>
    <w:rsid w:val="001D27F1"/>
    <w:rsid w:val="001D29D7"/>
    <w:rsid w:val="001D2DE7"/>
    <w:rsid w:val="001D411C"/>
    <w:rsid w:val="001D52F9"/>
    <w:rsid w:val="001E1B6A"/>
    <w:rsid w:val="001E2484"/>
    <w:rsid w:val="001E2678"/>
    <w:rsid w:val="001E37AA"/>
    <w:rsid w:val="001E3CC4"/>
    <w:rsid w:val="001E4882"/>
    <w:rsid w:val="001E73AB"/>
    <w:rsid w:val="001E7D76"/>
    <w:rsid w:val="001F092D"/>
    <w:rsid w:val="001F129E"/>
    <w:rsid w:val="001F143A"/>
    <w:rsid w:val="001F1605"/>
    <w:rsid w:val="001F2508"/>
    <w:rsid w:val="001F4816"/>
    <w:rsid w:val="001F638F"/>
    <w:rsid w:val="001F69B4"/>
    <w:rsid w:val="001F77C7"/>
    <w:rsid w:val="00200183"/>
    <w:rsid w:val="0020107D"/>
    <w:rsid w:val="00202AA4"/>
    <w:rsid w:val="002031F7"/>
    <w:rsid w:val="002040E6"/>
    <w:rsid w:val="0020527B"/>
    <w:rsid w:val="002059A4"/>
    <w:rsid w:val="00205F2C"/>
    <w:rsid w:val="00210B15"/>
    <w:rsid w:val="00212EDF"/>
    <w:rsid w:val="002142EA"/>
    <w:rsid w:val="002204BB"/>
    <w:rsid w:val="00221B79"/>
    <w:rsid w:val="00221C6B"/>
    <w:rsid w:val="00224596"/>
    <w:rsid w:val="002253A1"/>
    <w:rsid w:val="00225CF8"/>
    <w:rsid w:val="0022718D"/>
    <w:rsid w:val="0022794E"/>
    <w:rsid w:val="00227F6E"/>
    <w:rsid w:val="00233D64"/>
    <w:rsid w:val="00234784"/>
    <w:rsid w:val="0023482A"/>
    <w:rsid w:val="002359CB"/>
    <w:rsid w:val="00237C77"/>
    <w:rsid w:val="00243540"/>
    <w:rsid w:val="0024497B"/>
    <w:rsid w:val="0024515B"/>
    <w:rsid w:val="00246021"/>
    <w:rsid w:val="0024666E"/>
    <w:rsid w:val="00247F52"/>
    <w:rsid w:val="00250B25"/>
    <w:rsid w:val="00250BBE"/>
    <w:rsid w:val="002515C2"/>
    <w:rsid w:val="0025194F"/>
    <w:rsid w:val="0026148A"/>
    <w:rsid w:val="00262696"/>
    <w:rsid w:val="002634BC"/>
    <w:rsid w:val="002643C3"/>
    <w:rsid w:val="00264A0C"/>
    <w:rsid w:val="00267EF4"/>
    <w:rsid w:val="00270CB8"/>
    <w:rsid w:val="00271DF4"/>
    <w:rsid w:val="00272B08"/>
    <w:rsid w:val="00273114"/>
    <w:rsid w:val="00276EF5"/>
    <w:rsid w:val="00276FD6"/>
    <w:rsid w:val="00281BB8"/>
    <w:rsid w:val="00281E9E"/>
    <w:rsid w:val="00285170"/>
    <w:rsid w:val="00285361"/>
    <w:rsid w:val="00287FE7"/>
    <w:rsid w:val="00292D60"/>
    <w:rsid w:val="002946C5"/>
    <w:rsid w:val="00294D34"/>
    <w:rsid w:val="00294E3B"/>
    <w:rsid w:val="00296193"/>
    <w:rsid w:val="00296C66"/>
    <w:rsid w:val="00296EBE"/>
    <w:rsid w:val="002974E3"/>
    <w:rsid w:val="002A01EB"/>
    <w:rsid w:val="002A0578"/>
    <w:rsid w:val="002A084B"/>
    <w:rsid w:val="002A1260"/>
    <w:rsid w:val="002A1589"/>
    <w:rsid w:val="002A1608"/>
    <w:rsid w:val="002A1C28"/>
    <w:rsid w:val="002A25DC"/>
    <w:rsid w:val="002A3AAB"/>
    <w:rsid w:val="002A4CEA"/>
    <w:rsid w:val="002A5977"/>
    <w:rsid w:val="002A5A13"/>
    <w:rsid w:val="002A67D3"/>
    <w:rsid w:val="002A757F"/>
    <w:rsid w:val="002A79BF"/>
    <w:rsid w:val="002A7F44"/>
    <w:rsid w:val="002B0C40"/>
    <w:rsid w:val="002B1966"/>
    <w:rsid w:val="002B23E3"/>
    <w:rsid w:val="002B4508"/>
    <w:rsid w:val="002B5779"/>
    <w:rsid w:val="002B7332"/>
    <w:rsid w:val="002B7F51"/>
    <w:rsid w:val="002C09E7"/>
    <w:rsid w:val="002C3F07"/>
    <w:rsid w:val="002C5278"/>
    <w:rsid w:val="002C7EBB"/>
    <w:rsid w:val="002D06C1"/>
    <w:rsid w:val="002D131F"/>
    <w:rsid w:val="002D32F4"/>
    <w:rsid w:val="002D42B5"/>
    <w:rsid w:val="002D4F1A"/>
    <w:rsid w:val="002D5192"/>
    <w:rsid w:val="002D6DA6"/>
    <w:rsid w:val="002D6EC6"/>
    <w:rsid w:val="002D79AC"/>
    <w:rsid w:val="002E039D"/>
    <w:rsid w:val="002E17C8"/>
    <w:rsid w:val="002E41D8"/>
    <w:rsid w:val="002E4D5A"/>
    <w:rsid w:val="002E6326"/>
    <w:rsid w:val="002F30E0"/>
    <w:rsid w:val="002F35E4"/>
    <w:rsid w:val="002F3730"/>
    <w:rsid w:val="002F38E1"/>
    <w:rsid w:val="002F7AF6"/>
    <w:rsid w:val="00300E63"/>
    <w:rsid w:val="00302F5F"/>
    <w:rsid w:val="0030441D"/>
    <w:rsid w:val="00306063"/>
    <w:rsid w:val="003068C7"/>
    <w:rsid w:val="00310DB5"/>
    <w:rsid w:val="00313B85"/>
    <w:rsid w:val="00317988"/>
    <w:rsid w:val="003221B4"/>
    <w:rsid w:val="00322E62"/>
    <w:rsid w:val="00324EDD"/>
    <w:rsid w:val="003331E4"/>
    <w:rsid w:val="003346CF"/>
    <w:rsid w:val="00336C64"/>
    <w:rsid w:val="00337162"/>
    <w:rsid w:val="00340CDA"/>
    <w:rsid w:val="00341786"/>
    <w:rsid w:val="0034194F"/>
    <w:rsid w:val="00341FD2"/>
    <w:rsid w:val="00342AD1"/>
    <w:rsid w:val="00342DB8"/>
    <w:rsid w:val="00344605"/>
    <w:rsid w:val="003474AA"/>
    <w:rsid w:val="00350D1D"/>
    <w:rsid w:val="00351901"/>
    <w:rsid w:val="00352B94"/>
    <w:rsid w:val="00352C83"/>
    <w:rsid w:val="003615D2"/>
    <w:rsid w:val="003631A2"/>
    <w:rsid w:val="00363D5C"/>
    <w:rsid w:val="0036429C"/>
    <w:rsid w:val="00364A53"/>
    <w:rsid w:val="003654CB"/>
    <w:rsid w:val="00365F86"/>
    <w:rsid w:val="00365F87"/>
    <w:rsid w:val="003705F4"/>
    <w:rsid w:val="00370D58"/>
    <w:rsid w:val="00371316"/>
    <w:rsid w:val="003733D1"/>
    <w:rsid w:val="00376713"/>
    <w:rsid w:val="00381815"/>
    <w:rsid w:val="003819AF"/>
    <w:rsid w:val="003820E9"/>
    <w:rsid w:val="00382DE7"/>
    <w:rsid w:val="00384FFC"/>
    <w:rsid w:val="003872FC"/>
    <w:rsid w:val="00387ADC"/>
    <w:rsid w:val="00390020"/>
    <w:rsid w:val="003903D6"/>
    <w:rsid w:val="00390515"/>
    <w:rsid w:val="00390EE6"/>
    <w:rsid w:val="0039118F"/>
    <w:rsid w:val="00391599"/>
    <w:rsid w:val="00392AD7"/>
    <w:rsid w:val="003938D9"/>
    <w:rsid w:val="00394149"/>
    <w:rsid w:val="00394376"/>
    <w:rsid w:val="003943FF"/>
    <w:rsid w:val="003970AC"/>
    <w:rsid w:val="003974EB"/>
    <w:rsid w:val="00397CC5"/>
    <w:rsid w:val="003A015D"/>
    <w:rsid w:val="003A1582"/>
    <w:rsid w:val="003A4077"/>
    <w:rsid w:val="003B09AD"/>
    <w:rsid w:val="003B0BD9"/>
    <w:rsid w:val="003B12B8"/>
    <w:rsid w:val="003B1F18"/>
    <w:rsid w:val="003B5BF0"/>
    <w:rsid w:val="003B5FA5"/>
    <w:rsid w:val="003B60BF"/>
    <w:rsid w:val="003B6265"/>
    <w:rsid w:val="003B6BE3"/>
    <w:rsid w:val="003C010C"/>
    <w:rsid w:val="003C0A6C"/>
    <w:rsid w:val="003C283C"/>
    <w:rsid w:val="003C2859"/>
    <w:rsid w:val="003C5A43"/>
    <w:rsid w:val="003C6EDF"/>
    <w:rsid w:val="003D0519"/>
    <w:rsid w:val="003D0FF6"/>
    <w:rsid w:val="003D262C"/>
    <w:rsid w:val="003D6D61"/>
    <w:rsid w:val="003D79E7"/>
    <w:rsid w:val="003E091D"/>
    <w:rsid w:val="003E120D"/>
    <w:rsid w:val="003E1C53"/>
    <w:rsid w:val="003E2A69"/>
    <w:rsid w:val="003E2D49"/>
    <w:rsid w:val="003E2FD4"/>
    <w:rsid w:val="003E49F6"/>
    <w:rsid w:val="003E4A0D"/>
    <w:rsid w:val="003F036A"/>
    <w:rsid w:val="003F0841"/>
    <w:rsid w:val="003F23D3"/>
    <w:rsid w:val="003F35BC"/>
    <w:rsid w:val="003F3F08"/>
    <w:rsid w:val="003F49F1"/>
    <w:rsid w:val="003F6272"/>
    <w:rsid w:val="003F72A3"/>
    <w:rsid w:val="00400E72"/>
    <w:rsid w:val="00401400"/>
    <w:rsid w:val="00404869"/>
    <w:rsid w:val="00405884"/>
    <w:rsid w:val="0040611C"/>
    <w:rsid w:val="00406F52"/>
    <w:rsid w:val="00407D39"/>
    <w:rsid w:val="00412306"/>
    <w:rsid w:val="0041477A"/>
    <w:rsid w:val="004167A3"/>
    <w:rsid w:val="00416FF4"/>
    <w:rsid w:val="0042054E"/>
    <w:rsid w:val="00421081"/>
    <w:rsid w:val="004229C6"/>
    <w:rsid w:val="004254C8"/>
    <w:rsid w:val="00432995"/>
    <w:rsid w:val="00432DAA"/>
    <w:rsid w:val="00434305"/>
    <w:rsid w:val="00435DF7"/>
    <w:rsid w:val="0043606A"/>
    <w:rsid w:val="0044083F"/>
    <w:rsid w:val="004411D3"/>
    <w:rsid w:val="00441AE7"/>
    <w:rsid w:val="00442A30"/>
    <w:rsid w:val="00445574"/>
    <w:rsid w:val="004467FB"/>
    <w:rsid w:val="00452D6B"/>
    <w:rsid w:val="00453C55"/>
    <w:rsid w:val="00454484"/>
    <w:rsid w:val="0045517B"/>
    <w:rsid w:val="00455966"/>
    <w:rsid w:val="004563CD"/>
    <w:rsid w:val="00463B77"/>
    <w:rsid w:val="00463C7B"/>
    <w:rsid w:val="00463F02"/>
    <w:rsid w:val="004644A6"/>
    <w:rsid w:val="004659AD"/>
    <w:rsid w:val="004659BD"/>
    <w:rsid w:val="00470775"/>
    <w:rsid w:val="004715BD"/>
    <w:rsid w:val="0047161C"/>
    <w:rsid w:val="00474124"/>
    <w:rsid w:val="004746B1"/>
    <w:rsid w:val="004754DD"/>
    <w:rsid w:val="0047583F"/>
    <w:rsid w:val="004766B2"/>
    <w:rsid w:val="00477427"/>
    <w:rsid w:val="00484936"/>
    <w:rsid w:val="00485C89"/>
    <w:rsid w:val="00486BE3"/>
    <w:rsid w:val="00486BF9"/>
    <w:rsid w:val="00487837"/>
    <w:rsid w:val="004905E4"/>
    <w:rsid w:val="00490A89"/>
    <w:rsid w:val="00490AB4"/>
    <w:rsid w:val="004911FE"/>
    <w:rsid w:val="004920D8"/>
    <w:rsid w:val="00492F02"/>
    <w:rsid w:val="004939AE"/>
    <w:rsid w:val="00493F82"/>
    <w:rsid w:val="0049622A"/>
    <w:rsid w:val="004973F4"/>
    <w:rsid w:val="004A12DF"/>
    <w:rsid w:val="004A1BA8"/>
    <w:rsid w:val="004A4B57"/>
    <w:rsid w:val="004A4DC4"/>
    <w:rsid w:val="004A63FA"/>
    <w:rsid w:val="004B0272"/>
    <w:rsid w:val="004B1854"/>
    <w:rsid w:val="004B242E"/>
    <w:rsid w:val="004B2701"/>
    <w:rsid w:val="004B2E1B"/>
    <w:rsid w:val="004B3E93"/>
    <w:rsid w:val="004B3F26"/>
    <w:rsid w:val="004B782F"/>
    <w:rsid w:val="004C1FBC"/>
    <w:rsid w:val="004C3F1D"/>
    <w:rsid w:val="004C458D"/>
    <w:rsid w:val="004C6B5B"/>
    <w:rsid w:val="004C7556"/>
    <w:rsid w:val="004C7E9D"/>
    <w:rsid w:val="004C7F67"/>
    <w:rsid w:val="004D076D"/>
    <w:rsid w:val="004D0EF1"/>
    <w:rsid w:val="004D10DC"/>
    <w:rsid w:val="004D1733"/>
    <w:rsid w:val="004D189E"/>
    <w:rsid w:val="004D2253"/>
    <w:rsid w:val="004D38D1"/>
    <w:rsid w:val="004D42D4"/>
    <w:rsid w:val="004D4406"/>
    <w:rsid w:val="004D6F72"/>
    <w:rsid w:val="004D7C42"/>
    <w:rsid w:val="004E0465"/>
    <w:rsid w:val="004E127B"/>
    <w:rsid w:val="004E1C0A"/>
    <w:rsid w:val="004E3014"/>
    <w:rsid w:val="004E30C5"/>
    <w:rsid w:val="004E4AA5"/>
    <w:rsid w:val="004E4AEE"/>
    <w:rsid w:val="004E59E3"/>
    <w:rsid w:val="004E67C0"/>
    <w:rsid w:val="004F08EC"/>
    <w:rsid w:val="004F391A"/>
    <w:rsid w:val="004F3CFB"/>
    <w:rsid w:val="004F6456"/>
    <w:rsid w:val="004F696E"/>
    <w:rsid w:val="004F6C71"/>
    <w:rsid w:val="004F7126"/>
    <w:rsid w:val="00501139"/>
    <w:rsid w:val="00502991"/>
    <w:rsid w:val="0050363E"/>
    <w:rsid w:val="005039BC"/>
    <w:rsid w:val="005043BB"/>
    <w:rsid w:val="00504A3D"/>
    <w:rsid w:val="00505767"/>
    <w:rsid w:val="00506F43"/>
    <w:rsid w:val="005073F0"/>
    <w:rsid w:val="00510A7B"/>
    <w:rsid w:val="00512F6E"/>
    <w:rsid w:val="00513038"/>
    <w:rsid w:val="00514174"/>
    <w:rsid w:val="00516088"/>
    <w:rsid w:val="00516B0B"/>
    <w:rsid w:val="005207F4"/>
    <w:rsid w:val="005220EC"/>
    <w:rsid w:val="00523F95"/>
    <w:rsid w:val="00524D65"/>
    <w:rsid w:val="00525B16"/>
    <w:rsid w:val="00527BBE"/>
    <w:rsid w:val="00530F64"/>
    <w:rsid w:val="00533C65"/>
    <w:rsid w:val="00533D04"/>
    <w:rsid w:val="00534804"/>
    <w:rsid w:val="00534BDF"/>
    <w:rsid w:val="005354EA"/>
    <w:rsid w:val="00535EC4"/>
    <w:rsid w:val="00535ED9"/>
    <w:rsid w:val="0053692B"/>
    <w:rsid w:val="00541853"/>
    <w:rsid w:val="00543BDA"/>
    <w:rsid w:val="005441CC"/>
    <w:rsid w:val="005479DA"/>
    <w:rsid w:val="00547BCC"/>
    <w:rsid w:val="0055013B"/>
    <w:rsid w:val="00551F6F"/>
    <w:rsid w:val="00555044"/>
    <w:rsid w:val="00557A08"/>
    <w:rsid w:val="005606CF"/>
    <w:rsid w:val="00561475"/>
    <w:rsid w:val="0056149F"/>
    <w:rsid w:val="0056487B"/>
    <w:rsid w:val="00564FB9"/>
    <w:rsid w:val="005674D8"/>
    <w:rsid w:val="00573D9E"/>
    <w:rsid w:val="005801E3"/>
    <w:rsid w:val="005808F5"/>
    <w:rsid w:val="005814F8"/>
    <w:rsid w:val="00581802"/>
    <w:rsid w:val="00582B08"/>
    <w:rsid w:val="005836A8"/>
    <w:rsid w:val="0058409C"/>
    <w:rsid w:val="00584262"/>
    <w:rsid w:val="00586630"/>
    <w:rsid w:val="00587ADD"/>
    <w:rsid w:val="00591032"/>
    <w:rsid w:val="00593544"/>
    <w:rsid w:val="00594701"/>
    <w:rsid w:val="00596160"/>
    <w:rsid w:val="005966E2"/>
    <w:rsid w:val="005969BD"/>
    <w:rsid w:val="00597007"/>
    <w:rsid w:val="00597D05"/>
    <w:rsid w:val="005A0966"/>
    <w:rsid w:val="005A11B7"/>
    <w:rsid w:val="005A260B"/>
    <w:rsid w:val="005A4A1B"/>
    <w:rsid w:val="005A5385"/>
    <w:rsid w:val="005A7830"/>
    <w:rsid w:val="005A7FCE"/>
    <w:rsid w:val="005B0F3F"/>
    <w:rsid w:val="005B4903"/>
    <w:rsid w:val="005B51CE"/>
    <w:rsid w:val="005B5885"/>
    <w:rsid w:val="005B5CD7"/>
    <w:rsid w:val="005B6CF6"/>
    <w:rsid w:val="005B7422"/>
    <w:rsid w:val="005C29B8"/>
    <w:rsid w:val="005C55C5"/>
    <w:rsid w:val="005C5F21"/>
    <w:rsid w:val="005C7156"/>
    <w:rsid w:val="005D0990"/>
    <w:rsid w:val="005D0C75"/>
    <w:rsid w:val="005D1E63"/>
    <w:rsid w:val="005D4171"/>
    <w:rsid w:val="005D6793"/>
    <w:rsid w:val="005D6A95"/>
    <w:rsid w:val="005D6B2C"/>
    <w:rsid w:val="005D6D9C"/>
    <w:rsid w:val="005E1137"/>
    <w:rsid w:val="005E2335"/>
    <w:rsid w:val="005E34CA"/>
    <w:rsid w:val="005E3C18"/>
    <w:rsid w:val="005E6318"/>
    <w:rsid w:val="005E6812"/>
    <w:rsid w:val="005E7829"/>
    <w:rsid w:val="005E7881"/>
    <w:rsid w:val="005E78E0"/>
    <w:rsid w:val="005F0D9C"/>
    <w:rsid w:val="005F284E"/>
    <w:rsid w:val="005F50A7"/>
    <w:rsid w:val="005F5D9A"/>
    <w:rsid w:val="006015CE"/>
    <w:rsid w:val="00603A39"/>
    <w:rsid w:val="00604784"/>
    <w:rsid w:val="00606419"/>
    <w:rsid w:val="00607D29"/>
    <w:rsid w:val="00607E7B"/>
    <w:rsid w:val="00610A45"/>
    <w:rsid w:val="00612952"/>
    <w:rsid w:val="00614CC1"/>
    <w:rsid w:val="00615A9D"/>
    <w:rsid w:val="006168F9"/>
    <w:rsid w:val="00617387"/>
    <w:rsid w:val="00623125"/>
    <w:rsid w:val="00623D2A"/>
    <w:rsid w:val="006252D8"/>
    <w:rsid w:val="006259BC"/>
    <w:rsid w:val="0062636B"/>
    <w:rsid w:val="006303F7"/>
    <w:rsid w:val="00632182"/>
    <w:rsid w:val="006321E9"/>
    <w:rsid w:val="00632AE0"/>
    <w:rsid w:val="00633861"/>
    <w:rsid w:val="00633C17"/>
    <w:rsid w:val="00636E3E"/>
    <w:rsid w:val="006379F7"/>
    <w:rsid w:val="00637E4D"/>
    <w:rsid w:val="00640620"/>
    <w:rsid w:val="00641A1F"/>
    <w:rsid w:val="0064528D"/>
    <w:rsid w:val="0064571A"/>
    <w:rsid w:val="00645904"/>
    <w:rsid w:val="006501B4"/>
    <w:rsid w:val="00651ACB"/>
    <w:rsid w:val="00651C47"/>
    <w:rsid w:val="00652AB2"/>
    <w:rsid w:val="00654D71"/>
    <w:rsid w:val="00654EC0"/>
    <w:rsid w:val="0065525B"/>
    <w:rsid w:val="00655D4F"/>
    <w:rsid w:val="006561ED"/>
    <w:rsid w:val="006640E5"/>
    <w:rsid w:val="006646F1"/>
    <w:rsid w:val="00664929"/>
    <w:rsid w:val="00664F62"/>
    <w:rsid w:val="006655E1"/>
    <w:rsid w:val="00672060"/>
    <w:rsid w:val="00672BFD"/>
    <w:rsid w:val="00676886"/>
    <w:rsid w:val="006770F4"/>
    <w:rsid w:val="00677A84"/>
    <w:rsid w:val="0068026D"/>
    <w:rsid w:val="00680A27"/>
    <w:rsid w:val="006816A4"/>
    <w:rsid w:val="006819B8"/>
    <w:rsid w:val="006840A6"/>
    <w:rsid w:val="006850CD"/>
    <w:rsid w:val="00685AAB"/>
    <w:rsid w:val="00691D5E"/>
    <w:rsid w:val="006956D1"/>
    <w:rsid w:val="006977A6"/>
    <w:rsid w:val="006A0321"/>
    <w:rsid w:val="006A07AA"/>
    <w:rsid w:val="006A25E5"/>
    <w:rsid w:val="006A2B46"/>
    <w:rsid w:val="006A336D"/>
    <w:rsid w:val="006A37B9"/>
    <w:rsid w:val="006B2672"/>
    <w:rsid w:val="006B3506"/>
    <w:rsid w:val="006B54BF"/>
    <w:rsid w:val="006B5F44"/>
    <w:rsid w:val="006B5F90"/>
    <w:rsid w:val="006B62E4"/>
    <w:rsid w:val="006B7562"/>
    <w:rsid w:val="006C1BBA"/>
    <w:rsid w:val="006C2079"/>
    <w:rsid w:val="006C317D"/>
    <w:rsid w:val="006C5A62"/>
    <w:rsid w:val="006C5D68"/>
    <w:rsid w:val="006C6416"/>
    <w:rsid w:val="006C6976"/>
    <w:rsid w:val="006C6DD0"/>
    <w:rsid w:val="006D04EA"/>
    <w:rsid w:val="006D1379"/>
    <w:rsid w:val="006D16C4"/>
    <w:rsid w:val="006D3E96"/>
    <w:rsid w:val="006D4515"/>
    <w:rsid w:val="006D4BB1"/>
    <w:rsid w:val="006D56E9"/>
    <w:rsid w:val="006D5804"/>
    <w:rsid w:val="006D6593"/>
    <w:rsid w:val="006D686E"/>
    <w:rsid w:val="006E4121"/>
    <w:rsid w:val="006E6A01"/>
    <w:rsid w:val="006F03A8"/>
    <w:rsid w:val="006F126C"/>
    <w:rsid w:val="006F2ACA"/>
    <w:rsid w:val="006F2ADC"/>
    <w:rsid w:val="006F2BFE"/>
    <w:rsid w:val="006F31E9"/>
    <w:rsid w:val="006F56E5"/>
    <w:rsid w:val="006F6284"/>
    <w:rsid w:val="00700137"/>
    <w:rsid w:val="007002C5"/>
    <w:rsid w:val="00701E7C"/>
    <w:rsid w:val="0070348B"/>
    <w:rsid w:val="00704387"/>
    <w:rsid w:val="00706DAA"/>
    <w:rsid w:val="00707669"/>
    <w:rsid w:val="00711CBA"/>
    <w:rsid w:val="00711FB5"/>
    <w:rsid w:val="00712A01"/>
    <w:rsid w:val="00714F58"/>
    <w:rsid w:val="00721978"/>
    <w:rsid w:val="00722291"/>
    <w:rsid w:val="00722FBF"/>
    <w:rsid w:val="00722FC2"/>
    <w:rsid w:val="00725263"/>
    <w:rsid w:val="00725949"/>
    <w:rsid w:val="00725B11"/>
    <w:rsid w:val="00725BE8"/>
    <w:rsid w:val="00725BEF"/>
    <w:rsid w:val="00726A7B"/>
    <w:rsid w:val="00726B81"/>
    <w:rsid w:val="00727FA2"/>
    <w:rsid w:val="007322D9"/>
    <w:rsid w:val="00732BC0"/>
    <w:rsid w:val="00732F4E"/>
    <w:rsid w:val="00737028"/>
    <w:rsid w:val="0073720F"/>
    <w:rsid w:val="007376C1"/>
    <w:rsid w:val="00737796"/>
    <w:rsid w:val="0074165C"/>
    <w:rsid w:val="00742C35"/>
    <w:rsid w:val="007432CA"/>
    <w:rsid w:val="007439E4"/>
    <w:rsid w:val="007439EB"/>
    <w:rsid w:val="00743CB4"/>
    <w:rsid w:val="00743F0A"/>
    <w:rsid w:val="007443FE"/>
    <w:rsid w:val="007444E8"/>
    <w:rsid w:val="0074548E"/>
    <w:rsid w:val="00745773"/>
    <w:rsid w:val="00746800"/>
    <w:rsid w:val="00747CF0"/>
    <w:rsid w:val="007501A8"/>
    <w:rsid w:val="00750EE1"/>
    <w:rsid w:val="00752B4D"/>
    <w:rsid w:val="00755402"/>
    <w:rsid w:val="00755EB2"/>
    <w:rsid w:val="00756B26"/>
    <w:rsid w:val="00756EDF"/>
    <w:rsid w:val="00763906"/>
    <w:rsid w:val="007658B3"/>
    <w:rsid w:val="00765C43"/>
    <w:rsid w:val="00765EFB"/>
    <w:rsid w:val="007671CA"/>
    <w:rsid w:val="0076744F"/>
    <w:rsid w:val="00767C61"/>
    <w:rsid w:val="0077008A"/>
    <w:rsid w:val="00773C1F"/>
    <w:rsid w:val="00774167"/>
    <w:rsid w:val="00774DA4"/>
    <w:rsid w:val="00776599"/>
    <w:rsid w:val="0078109B"/>
    <w:rsid w:val="0078114B"/>
    <w:rsid w:val="00781DD2"/>
    <w:rsid w:val="00783ECF"/>
    <w:rsid w:val="0078413A"/>
    <w:rsid w:val="00787803"/>
    <w:rsid w:val="007959E8"/>
    <w:rsid w:val="00795E9C"/>
    <w:rsid w:val="007A0521"/>
    <w:rsid w:val="007A2E12"/>
    <w:rsid w:val="007A3475"/>
    <w:rsid w:val="007A41C8"/>
    <w:rsid w:val="007A54CE"/>
    <w:rsid w:val="007A6FD9"/>
    <w:rsid w:val="007A7FFA"/>
    <w:rsid w:val="007B04EB"/>
    <w:rsid w:val="007B0B6E"/>
    <w:rsid w:val="007B0D4F"/>
    <w:rsid w:val="007B2378"/>
    <w:rsid w:val="007B2CD6"/>
    <w:rsid w:val="007B5A3D"/>
    <w:rsid w:val="007B5B95"/>
    <w:rsid w:val="007B68EA"/>
    <w:rsid w:val="007B7453"/>
    <w:rsid w:val="007B7A97"/>
    <w:rsid w:val="007C1C1C"/>
    <w:rsid w:val="007C2D89"/>
    <w:rsid w:val="007C4593"/>
    <w:rsid w:val="007C5309"/>
    <w:rsid w:val="007C6069"/>
    <w:rsid w:val="007D06C4"/>
    <w:rsid w:val="007D0E3B"/>
    <w:rsid w:val="007D1352"/>
    <w:rsid w:val="007D1412"/>
    <w:rsid w:val="007D1A3C"/>
    <w:rsid w:val="007D2508"/>
    <w:rsid w:val="007D346A"/>
    <w:rsid w:val="007D5C97"/>
    <w:rsid w:val="007D6518"/>
    <w:rsid w:val="007D76BD"/>
    <w:rsid w:val="007E0991"/>
    <w:rsid w:val="007E0BF1"/>
    <w:rsid w:val="007E0D02"/>
    <w:rsid w:val="007E258B"/>
    <w:rsid w:val="007E304C"/>
    <w:rsid w:val="007F0ED8"/>
    <w:rsid w:val="007F0F63"/>
    <w:rsid w:val="007F3748"/>
    <w:rsid w:val="007F75CE"/>
    <w:rsid w:val="008013A4"/>
    <w:rsid w:val="008027CE"/>
    <w:rsid w:val="00802F42"/>
    <w:rsid w:val="00804383"/>
    <w:rsid w:val="00804BB7"/>
    <w:rsid w:val="00810257"/>
    <w:rsid w:val="008104F5"/>
    <w:rsid w:val="00811072"/>
    <w:rsid w:val="00811369"/>
    <w:rsid w:val="00815419"/>
    <w:rsid w:val="008163C8"/>
    <w:rsid w:val="008164A1"/>
    <w:rsid w:val="00817325"/>
    <w:rsid w:val="008209E6"/>
    <w:rsid w:val="00822132"/>
    <w:rsid w:val="00823303"/>
    <w:rsid w:val="008233B2"/>
    <w:rsid w:val="00823A9F"/>
    <w:rsid w:val="00823C85"/>
    <w:rsid w:val="00825138"/>
    <w:rsid w:val="008269DD"/>
    <w:rsid w:val="00830621"/>
    <w:rsid w:val="0083348C"/>
    <w:rsid w:val="00836C37"/>
    <w:rsid w:val="008373D3"/>
    <w:rsid w:val="00840617"/>
    <w:rsid w:val="00842A47"/>
    <w:rsid w:val="00843C13"/>
    <w:rsid w:val="00844780"/>
    <w:rsid w:val="008454F8"/>
    <w:rsid w:val="0084695B"/>
    <w:rsid w:val="0085173A"/>
    <w:rsid w:val="00854343"/>
    <w:rsid w:val="00855C20"/>
    <w:rsid w:val="00856811"/>
    <w:rsid w:val="00860297"/>
    <w:rsid w:val="008603CE"/>
    <w:rsid w:val="008620FC"/>
    <w:rsid w:val="008627A5"/>
    <w:rsid w:val="00863E05"/>
    <w:rsid w:val="00863FA6"/>
    <w:rsid w:val="0086431E"/>
    <w:rsid w:val="008646A5"/>
    <w:rsid w:val="00865ACA"/>
    <w:rsid w:val="00865D28"/>
    <w:rsid w:val="00865F08"/>
    <w:rsid w:val="00865F85"/>
    <w:rsid w:val="00867C10"/>
    <w:rsid w:val="00870439"/>
    <w:rsid w:val="00870DA1"/>
    <w:rsid w:val="00871F94"/>
    <w:rsid w:val="00874CBC"/>
    <w:rsid w:val="00882DDC"/>
    <w:rsid w:val="00883F93"/>
    <w:rsid w:val="00884DB3"/>
    <w:rsid w:val="00885A9D"/>
    <w:rsid w:val="008864F6"/>
    <w:rsid w:val="00886B8D"/>
    <w:rsid w:val="0089049D"/>
    <w:rsid w:val="008928C9"/>
    <w:rsid w:val="008938DC"/>
    <w:rsid w:val="00893FD1"/>
    <w:rsid w:val="00894836"/>
    <w:rsid w:val="00895172"/>
    <w:rsid w:val="00895680"/>
    <w:rsid w:val="00895EDE"/>
    <w:rsid w:val="00896DFF"/>
    <w:rsid w:val="0089762C"/>
    <w:rsid w:val="008A1893"/>
    <w:rsid w:val="008A769A"/>
    <w:rsid w:val="008B0C9C"/>
    <w:rsid w:val="008B166D"/>
    <w:rsid w:val="008B16DE"/>
    <w:rsid w:val="008B17F4"/>
    <w:rsid w:val="008B1B8F"/>
    <w:rsid w:val="008B23CC"/>
    <w:rsid w:val="008B3615"/>
    <w:rsid w:val="008B3AF5"/>
    <w:rsid w:val="008B4AC4"/>
    <w:rsid w:val="008B50C8"/>
    <w:rsid w:val="008B5281"/>
    <w:rsid w:val="008B5E8A"/>
    <w:rsid w:val="008B7C2A"/>
    <w:rsid w:val="008B7E05"/>
    <w:rsid w:val="008C1797"/>
    <w:rsid w:val="008C219C"/>
    <w:rsid w:val="008C25BD"/>
    <w:rsid w:val="008C29B6"/>
    <w:rsid w:val="008C475E"/>
    <w:rsid w:val="008C4767"/>
    <w:rsid w:val="008C619A"/>
    <w:rsid w:val="008D0CE8"/>
    <w:rsid w:val="008D2D1D"/>
    <w:rsid w:val="008D453D"/>
    <w:rsid w:val="008D53AD"/>
    <w:rsid w:val="008D562B"/>
    <w:rsid w:val="008D5733"/>
    <w:rsid w:val="008D622B"/>
    <w:rsid w:val="008D666C"/>
    <w:rsid w:val="008D7B54"/>
    <w:rsid w:val="008E0C9D"/>
    <w:rsid w:val="008E1648"/>
    <w:rsid w:val="008E17E5"/>
    <w:rsid w:val="008E1B3E"/>
    <w:rsid w:val="008E2319"/>
    <w:rsid w:val="008E30DD"/>
    <w:rsid w:val="008E4BB6"/>
    <w:rsid w:val="008E5518"/>
    <w:rsid w:val="008E6A84"/>
    <w:rsid w:val="008F0CDC"/>
    <w:rsid w:val="008F17A3"/>
    <w:rsid w:val="008F1ED3"/>
    <w:rsid w:val="008F4C29"/>
    <w:rsid w:val="008F58DC"/>
    <w:rsid w:val="008F70BD"/>
    <w:rsid w:val="008F788F"/>
    <w:rsid w:val="008F7EA2"/>
    <w:rsid w:val="00902722"/>
    <w:rsid w:val="009027BC"/>
    <w:rsid w:val="009062E6"/>
    <w:rsid w:val="00907D48"/>
    <w:rsid w:val="00911030"/>
    <w:rsid w:val="00911AF6"/>
    <w:rsid w:val="00911BE5"/>
    <w:rsid w:val="00913CA9"/>
    <w:rsid w:val="009145AE"/>
    <w:rsid w:val="009146CE"/>
    <w:rsid w:val="00914CA7"/>
    <w:rsid w:val="00915C3E"/>
    <w:rsid w:val="009161A8"/>
    <w:rsid w:val="009245F5"/>
    <w:rsid w:val="009249EC"/>
    <w:rsid w:val="009273B3"/>
    <w:rsid w:val="009305B5"/>
    <w:rsid w:val="00941FA3"/>
    <w:rsid w:val="009429D5"/>
    <w:rsid w:val="00942BF1"/>
    <w:rsid w:val="00945180"/>
    <w:rsid w:val="00945428"/>
    <w:rsid w:val="0094607B"/>
    <w:rsid w:val="00946552"/>
    <w:rsid w:val="00953604"/>
    <w:rsid w:val="0095496B"/>
    <w:rsid w:val="009562F4"/>
    <w:rsid w:val="009610DC"/>
    <w:rsid w:val="00961490"/>
    <w:rsid w:val="0096381A"/>
    <w:rsid w:val="00965E04"/>
    <w:rsid w:val="009674AD"/>
    <w:rsid w:val="00970CDC"/>
    <w:rsid w:val="00972CAB"/>
    <w:rsid w:val="00974FCD"/>
    <w:rsid w:val="00977010"/>
    <w:rsid w:val="00977D02"/>
    <w:rsid w:val="009809BB"/>
    <w:rsid w:val="00983136"/>
    <w:rsid w:val="0098364B"/>
    <w:rsid w:val="009911AF"/>
    <w:rsid w:val="00991875"/>
    <w:rsid w:val="00991BAB"/>
    <w:rsid w:val="00991F92"/>
    <w:rsid w:val="0099249E"/>
    <w:rsid w:val="00992985"/>
    <w:rsid w:val="00993889"/>
    <w:rsid w:val="00994782"/>
    <w:rsid w:val="0099551B"/>
    <w:rsid w:val="00997BF1"/>
    <w:rsid w:val="009A089C"/>
    <w:rsid w:val="009A118E"/>
    <w:rsid w:val="009A14D0"/>
    <w:rsid w:val="009A21CD"/>
    <w:rsid w:val="009A278C"/>
    <w:rsid w:val="009A2BC2"/>
    <w:rsid w:val="009A42C1"/>
    <w:rsid w:val="009A5429"/>
    <w:rsid w:val="009A72AD"/>
    <w:rsid w:val="009B09E0"/>
    <w:rsid w:val="009B0BC5"/>
    <w:rsid w:val="009B1247"/>
    <w:rsid w:val="009B18CB"/>
    <w:rsid w:val="009B6029"/>
    <w:rsid w:val="009B6464"/>
    <w:rsid w:val="009B6971"/>
    <w:rsid w:val="009C27F1"/>
    <w:rsid w:val="009C3152"/>
    <w:rsid w:val="009C4CFA"/>
    <w:rsid w:val="009C5070"/>
    <w:rsid w:val="009D112C"/>
    <w:rsid w:val="009D47FA"/>
    <w:rsid w:val="009D50D2"/>
    <w:rsid w:val="009D6BCA"/>
    <w:rsid w:val="009D72B9"/>
    <w:rsid w:val="009E0795"/>
    <w:rsid w:val="009E0F62"/>
    <w:rsid w:val="009E1848"/>
    <w:rsid w:val="009E4A58"/>
    <w:rsid w:val="009E5A2D"/>
    <w:rsid w:val="009E5AB2"/>
    <w:rsid w:val="009E5E54"/>
    <w:rsid w:val="009E6219"/>
    <w:rsid w:val="009F03B3"/>
    <w:rsid w:val="009F2FE8"/>
    <w:rsid w:val="00A01757"/>
    <w:rsid w:val="00A028C0"/>
    <w:rsid w:val="00A02BAE"/>
    <w:rsid w:val="00A05AA6"/>
    <w:rsid w:val="00A06A6B"/>
    <w:rsid w:val="00A07946"/>
    <w:rsid w:val="00A07E47"/>
    <w:rsid w:val="00A129D0"/>
    <w:rsid w:val="00A12C33"/>
    <w:rsid w:val="00A130BF"/>
    <w:rsid w:val="00A138BA"/>
    <w:rsid w:val="00A14C8E"/>
    <w:rsid w:val="00A153D9"/>
    <w:rsid w:val="00A15F09"/>
    <w:rsid w:val="00A169B6"/>
    <w:rsid w:val="00A21F8A"/>
    <w:rsid w:val="00A2271D"/>
    <w:rsid w:val="00A2276A"/>
    <w:rsid w:val="00A237D5"/>
    <w:rsid w:val="00A30EFC"/>
    <w:rsid w:val="00A31984"/>
    <w:rsid w:val="00A32D73"/>
    <w:rsid w:val="00A3367B"/>
    <w:rsid w:val="00A350AD"/>
    <w:rsid w:val="00A3597D"/>
    <w:rsid w:val="00A36015"/>
    <w:rsid w:val="00A37C34"/>
    <w:rsid w:val="00A4006C"/>
    <w:rsid w:val="00A40091"/>
    <w:rsid w:val="00A4030F"/>
    <w:rsid w:val="00A41C79"/>
    <w:rsid w:val="00A41CB5"/>
    <w:rsid w:val="00A42CDF"/>
    <w:rsid w:val="00A4307B"/>
    <w:rsid w:val="00A4452E"/>
    <w:rsid w:val="00A4472C"/>
    <w:rsid w:val="00A44E69"/>
    <w:rsid w:val="00A46615"/>
    <w:rsid w:val="00A4661E"/>
    <w:rsid w:val="00A5100A"/>
    <w:rsid w:val="00A51B97"/>
    <w:rsid w:val="00A55BD6"/>
    <w:rsid w:val="00A55D50"/>
    <w:rsid w:val="00A57142"/>
    <w:rsid w:val="00A608C8"/>
    <w:rsid w:val="00A61D48"/>
    <w:rsid w:val="00A648CD"/>
    <w:rsid w:val="00A6537A"/>
    <w:rsid w:val="00A65458"/>
    <w:rsid w:val="00A67866"/>
    <w:rsid w:val="00A70B01"/>
    <w:rsid w:val="00A70B07"/>
    <w:rsid w:val="00A723F8"/>
    <w:rsid w:val="00A77CCB"/>
    <w:rsid w:val="00A83D8D"/>
    <w:rsid w:val="00A83E19"/>
    <w:rsid w:val="00A8446B"/>
    <w:rsid w:val="00A8473F"/>
    <w:rsid w:val="00A85045"/>
    <w:rsid w:val="00A862D6"/>
    <w:rsid w:val="00A8715E"/>
    <w:rsid w:val="00A87647"/>
    <w:rsid w:val="00A87A80"/>
    <w:rsid w:val="00A91A76"/>
    <w:rsid w:val="00A9295B"/>
    <w:rsid w:val="00A93B09"/>
    <w:rsid w:val="00A952D7"/>
    <w:rsid w:val="00A963F7"/>
    <w:rsid w:val="00A96AD8"/>
    <w:rsid w:val="00AA052C"/>
    <w:rsid w:val="00AA1E45"/>
    <w:rsid w:val="00AA30E6"/>
    <w:rsid w:val="00AA4286"/>
    <w:rsid w:val="00AA456B"/>
    <w:rsid w:val="00AA57F5"/>
    <w:rsid w:val="00AA672E"/>
    <w:rsid w:val="00AA6EC9"/>
    <w:rsid w:val="00AB2AA6"/>
    <w:rsid w:val="00AB6309"/>
    <w:rsid w:val="00AB647F"/>
    <w:rsid w:val="00AB6C5F"/>
    <w:rsid w:val="00AB7129"/>
    <w:rsid w:val="00AC27A6"/>
    <w:rsid w:val="00AC30F7"/>
    <w:rsid w:val="00AC3A5A"/>
    <w:rsid w:val="00AC4D95"/>
    <w:rsid w:val="00AC5DF4"/>
    <w:rsid w:val="00AD0AEF"/>
    <w:rsid w:val="00AD11B7"/>
    <w:rsid w:val="00AD1A94"/>
    <w:rsid w:val="00AD1C05"/>
    <w:rsid w:val="00AD3423"/>
    <w:rsid w:val="00AD4126"/>
    <w:rsid w:val="00AD421C"/>
    <w:rsid w:val="00AD44FA"/>
    <w:rsid w:val="00AD5D89"/>
    <w:rsid w:val="00AD6A18"/>
    <w:rsid w:val="00AE070A"/>
    <w:rsid w:val="00AE101C"/>
    <w:rsid w:val="00AE232F"/>
    <w:rsid w:val="00AE2BCE"/>
    <w:rsid w:val="00AE3836"/>
    <w:rsid w:val="00AE42B0"/>
    <w:rsid w:val="00AE5EB4"/>
    <w:rsid w:val="00AE7415"/>
    <w:rsid w:val="00AF0C18"/>
    <w:rsid w:val="00AF1235"/>
    <w:rsid w:val="00AF47C5"/>
    <w:rsid w:val="00AF5398"/>
    <w:rsid w:val="00B033F5"/>
    <w:rsid w:val="00B049AF"/>
    <w:rsid w:val="00B05E04"/>
    <w:rsid w:val="00B07242"/>
    <w:rsid w:val="00B10534"/>
    <w:rsid w:val="00B113DB"/>
    <w:rsid w:val="00B11D8A"/>
    <w:rsid w:val="00B12981"/>
    <w:rsid w:val="00B147DD"/>
    <w:rsid w:val="00B156FD"/>
    <w:rsid w:val="00B205A4"/>
    <w:rsid w:val="00B20B68"/>
    <w:rsid w:val="00B21F61"/>
    <w:rsid w:val="00B2436F"/>
    <w:rsid w:val="00B261F1"/>
    <w:rsid w:val="00B265BC"/>
    <w:rsid w:val="00B27BBB"/>
    <w:rsid w:val="00B31FB1"/>
    <w:rsid w:val="00B32253"/>
    <w:rsid w:val="00B33952"/>
    <w:rsid w:val="00B33C5E"/>
    <w:rsid w:val="00B342F4"/>
    <w:rsid w:val="00B34369"/>
    <w:rsid w:val="00B34DC2"/>
    <w:rsid w:val="00B378E5"/>
    <w:rsid w:val="00B4346D"/>
    <w:rsid w:val="00B440F4"/>
    <w:rsid w:val="00B44432"/>
    <w:rsid w:val="00B447A5"/>
    <w:rsid w:val="00B4654C"/>
    <w:rsid w:val="00B47293"/>
    <w:rsid w:val="00B50E50"/>
    <w:rsid w:val="00B52120"/>
    <w:rsid w:val="00B54914"/>
    <w:rsid w:val="00B54ABC"/>
    <w:rsid w:val="00B56FBE"/>
    <w:rsid w:val="00B62B58"/>
    <w:rsid w:val="00B65149"/>
    <w:rsid w:val="00B65453"/>
    <w:rsid w:val="00B656D8"/>
    <w:rsid w:val="00B66567"/>
    <w:rsid w:val="00B66F52"/>
    <w:rsid w:val="00B66FE5"/>
    <w:rsid w:val="00B72880"/>
    <w:rsid w:val="00B72B69"/>
    <w:rsid w:val="00B758BF"/>
    <w:rsid w:val="00B8058A"/>
    <w:rsid w:val="00B827A6"/>
    <w:rsid w:val="00B831CE"/>
    <w:rsid w:val="00B86677"/>
    <w:rsid w:val="00B87131"/>
    <w:rsid w:val="00B917C5"/>
    <w:rsid w:val="00B939B1"/>
    <w:rsid w:val="00B95DCF"/>
    <w:rsid w:val="00B96D40"/>
    <w:rsid w:val="00B97386"/>
    <w:rsid w:val="00B978DB"/>
    <w:rsid w:val="00BA263B"/>
    <w:rsid w:val="00BA42B2"/>
    <w:rsid w:val="00BA58D4"/>
    <w:rsid w:val="00BA5B9E"/>
    <w:rsid w:val="00BA7C9A"/>
    <w:rsid w:val="00BB5F8F"/>
    <w:rsid w:val="00BB657A"/>
    <w:rsid w:val="00BC1A4E"/>
    <w:rsid w:val="00BC5DC7"/>
    <w:rsid w:val="00BC6B41"/>
    <w:rsid w:val="00BC6B8B"/>
    <w:rsid w:val="00BC73D8"/>
    <w:rsid w:val="00BD28D3"/>
    <w:rsid w:val="00BD4602"/>
    <w:rsid w:val="00BD52D7"/>
    <w:rsid w:val="00BD5AD2"/>
    <w:rsid w:val="00BE22F3"/>
    <w:rsid w:val="00BE5B52"/>
    <w:rsid w:val="00BE7B8D"/>
    <w:rsid w:val="00BF0993"/>
    <w:rsid w:val="00BF10A9"/>
    <w:rsid w:val="00BF1703"/>
    <w:rsid w:val="00BF231C"/>
    <w:rsid w:val="00BF51E5"/>
    <w:rsid w:val="00BF74A6"/>
    <w:rsid w:val="00BF7718"/>
    <w:rsid w:val="00C013AD"/>
    <w:rsid w:val="00C020FB"/>
    <w:rsid w:val="00C04904"/>
    <w:rsid w:val="00C056B3"/>
    <w:rsid w:val="00C103E5"/>
    <w:rsid w:val="00C13319"/>
    <w:rsid w:val="00C13EE9"/>
    <w:rsid w:val="00C21540"/>
    <w:rsid w:val="00C21906"/>
    <w:rsid w:val="00C21BFA"/>
    <w:rsid w:val="00C22D46"/>
    <w:rsid w:val="00C22DBA"/>
    <w:rsid w:val="00C24C8D"/>
    <w:rsid w:val="00C25FE2"/>
    <w:rsid w:val="00C260F4"/>
    <w:rsid w:val="00C26B53"/>
    <w:rsid w:val="00C26EF2"/>
    <w:rsid w:val="00C279B2"/>
    <w:rsid w:val="00C300C5"/>
    <w:rsid w:val="00C33E50"/>
    <w:rsid w:val="00C34C20"/>
    <w:rsid w:val="00C35A3E"/>
    <w:rsid w:val="00C35D99"/>
    <w:rsid w:val="00C42130"/>
    <w:rsid w:val="00C423A4"/>
    <w:rsid w:val="00C42986"/>
    <w:rsid w:val="00C42E23"/>
    <w:rsid w:val="00C44BF5"/>
    <w:rsid w:val="00C46DC3"/>
    <w:rsid w:val="00C5056E"/>
    <w:rsid w:val="00C521D6"/>
    <w:rsid w:val="00C55232"/>
    <w:rsid w:val="00C553A4"/>
    <w:rsid w:val="00C55A06"/>
    <w:rsid w:val="00C55D03"/>
    <w:rsid w:val="00C601BC"/>
    <w:rsid w:val="00C6329F"/>
    <w:rsid w:val="00C63340"/>
    <w:rsid w:val="00C643F9"/>
    <w:rsid w:val="00C64E95"/>
    <w:rsid w:val="00C65FA0"/>
    <w:rsid w:val="00C71372"/>
    <w:rsid w:val="00C72410"/>
    <w:rsid w:val="00C7287F"/>
    <w:rsid w:val="00C77235"/>
    <w:rsid w:val="00C80CB8"/>
    <w:rsid w:val="00C819F8"/>
    <w:rsid w:val="00C8248C"/>
    <w:rsid w:val="00C82849"/>
    <w:rsid w:val="00C84E33"/>
    <w:rsid w:val="00C86D6F"/>
    <w:rsid w:val="00C87F85"/>
    <w:rsid w:val="00C905FC"/>
    <w:rsid w:val="00C91994"/>
    <w:rsid w:val="00C92D03"/>
    <w:rsid w:val="00C9319C"/>
    <w:rsid w:val="00C9435D"/>
    <w:rsid w:val="00C96741"/>
    <w:rsid w:val="00C9699A"/>
    <w:rsid w:val="00CA1CBF"/>
    <w:rsid w:val="00CA2D1B"/>
    <w:rsid w:val="00CA373E"/>
    <w:rsid w:val="00CA662A"/>
    <w:rsid w:val="00CA662D"/>
    <w:rsid w:val="00CA7AFD"/>
    <w:rsid w:val="00CA7C3C"/>
    <w:rsid w:val="00CB0189"/>
    <w:rsid w:val="00CB0BA2"/>
    <w:rsid w:val="00CB1A42"/>
    <w:rsid w:val="00CB1B0C"/>
    <w:rsid w:val="00CB2C0B"/>
    <w:rsid w:val="00CB4FDA"/>
    <w:rsid w:val="00CB517D"/>
    <w:rsid w:val="00CC038D"/>
    <w:rsid w:val="00CC39FF"/>
    <w:rsid w:val="00CC3C2F"/>
    <w:rsid w:val="00CC4AC8"/>
    <w:rsid w:val="00CC5233"/>
    <w:rsid w:val="00CC5DE6"/>
    <w:rsid w:val="00CC6E4E"/>
    <w:rsid w:val="00CC6FE8"/>
    <w:rsid w:val="00CC7202"/>
    <w:rsid w:val="00CD1AB0"/>
    <w:rsid w:val="00CD2808"/>
    <w:rsid w:val="00CD28BF"/>
    <w:rsid w:val="00CD4092"/>
    <w:rsid w:val="00CD4A20"/>
    <w:rsid w:val="00CD50A1"/>
    <w:rsid w:val="00CD519E"/>
    <w:rsid w:val="00CD5EEF"/>
    <w:rsid w:val="00CE0C4F"/>
    <w:rsid w:val="00CE30EA"/>
    <w:rsid w:val="00CF048A"/>
    <w:rsid w:val="00CF0CF0"/>
    <w:rsid w:val="00CF155A"/>
    <w:rsid w:val="00CF2947"/>
    <w:rsid w:val="00CF462E"/>
    <w:rsid w:val="00CF4E76"/>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E81"/>
    <w:rsid w:val="00D223DE"/>
    <w:rsid w:val="00D25ADD"/>
    <w:rsid w:val="00D25E37"/>
    <w:rsid w:val="00D2661A"/>
    <w:rsid w:val="00D27582"/>
    <w:rsid w:val="00D306D3"/>
    <w:rsid w:val="00D32719"/>
    <w:rsid w:val="00D33333"/>
    <w:rsid w:val="00D34CB7"/>
    <w:rsid w:val="00D352A2"/>
    <w:rsid w:val="00D37A9B"/>
    <w:rsid w:val="00D37AB8"/>
    <w:rsid w:val="00D40DD5"/>
    <w:rsid w:val="00D4162B"/>
    <w:rsid w:val="00D4514F"/>
    <w:rsid w:val="00D451E2"/>
    <w:rsid w:val="00D45E89"/>
    <w:rsid w:val="00D45E8D"/>
    <w:rsid w:val="00D466AE"/>
    <w:rsid w:val="00D4734F"/>
    <w:rsid w:val="00D50368"/>
    <w:rsid w:val="00D51BF3"/>
    <w:rsid w:val="00D54B98"/>
    <w:rsid w:val="00D56D85"/>
    <w:rsid w:val="00D66846"/>
    <w:rsid w:val="00D675FB"/>
    <w:rsid w:val="00D71F25"/>
    <w:rsid w:val="00D74978"/>
    <w:rsid w:val="00D750B5"/>
    <w:rsid w:val="00D77031"/>
    <w:rsid w:val="00D80B7B"/>
    <w:rsid w:val="00D81136"/>
    <w:rsid w:val="00D84941"/>
    <w:rsid w:val="00D84FA1"/>
    <w:rsid w:val="00D851F0"/>
    <w:rsid w:val="00D86DB7"/>
    <w:rsid w:val="00D9060C"/>
    <w:rsid w:val="00D926D0"/>
    <w:rsid w:val="00D93030"/>
    <w:rsid w:val="00D950E1"/>
    <w:rsid w:val="00D952A6"/>
    <w:rsid w:val="00D97F99"/>
    <w:rsid w:val="00DA1E08"/>
    <w:rsid w:val="00DA24F8"/>
    <w:rsid w:val="00DA28E8"/>
    <w:rsid w:val="00DA38D2"/>
    <w:rsid w:val="00DA38D3"/>
    <w:rsid w:val="00DA3932"/>
    <w:rsid w:val="00DA3AFC"/>
    <w:rsid w:val="00DA64F8"/>
    <w:rsid w:val="00DA6C15"/>
    <w:rsid w:val="00DB38EE"/>
    <w:rsid w:val="00DB4635"/>
    <w:rsid w:val="00DB498B"/>
    <w:rsid w:val="00DB66CA"/>
    <w:rsid w:val="00DB6BCA"/>
    <w:rsid w:val="00DB7113"/>
    <w:rsid w:val="00DC0321"/>
    <w:rsid w:val="00DC3067"/>
    <w:rsid w:val="00DC370B"/>
    <w:rsid w:val="00DC5B90"/>
    <w:rsid w:val="00DD00FF"/>
    <w:rsid w:val="00DD0619"/>
    <w:rsid w:val="00DD07FB"/>
    <w:rsid w:val="00DD18E7"/>
    <w:rsid w:val="00DD25C6"/>
    <w:rsid w:val="00DD2B94"/>
    <w:rsid w:val="00DD31D7"/>
    <w:rsid w:val="00DD4FE5"/>
    <w:rsid w:val="00DD54B0"/>
    <w:rsid w:val="00DD57EE"/>
    <w:rsid w:val="00DD6BCC"/>
    <w:rsid w:val="00DD76E5"/>
    <w:rsid w:val="00DE0A4B"/>
    <w:rsid w:val="00DE2410"/>
    <w:rsid w:val="00DE2939"/>
    <w:rsid w:val="00DE3A66"/>
    <w:rsid w:val="00DE6E81"/>
    <w:rsid w:val="00DE703F"/>
    <w:rsid w:val="00DE7595"/>
    <w:rsid w:val="00DF0425"/>
    <w:rsid w:val="00DF1961"/>
    <w:rsid w:val="00DF2603"/>
    <w:rsid w:val="00DF44DE"/>
    <w:rsid w:val="00DF4A10"/>
    <w:rsid w:val="00DF4B3C"/>
    <w:rsid w:val="00DF5D10"/>
    <w:rsid w:val="00DF71E1"/>
    <w:rsid w:val="00E01138"/>
    <w:rsid w:val="00E02DFB"/>
    <w:rsid w:val="00E030F9"/>
    <w:rsid w:val="00E0311A"/>
    <w:rsid w:val="00E03138"/>
    <w:rsid w:val="00E06404"/>
    <w:rsid w:val="00E07ACB"/>
    <w:rsid w:val="00E11A85"/>
    <w:rsid w:val="00E12495"/>
    <w:rsid w:val="00E15CCD"/>
    <w:rsid w:val="00E15D9E"/>
    <w:rsid w:val="00E202EF"/>
    <w:rsid w:val="00E210B5"/>
    <w:rsid w:val="00E2552F"/>
    <w:rsid w:val="00E26EBB"/>
    <w:rsid w:val="00E3137A"/>
    <w:rsid w:val="00E32213"/>
    <w:rsid w:val="00E32CCF"/>
    <w:rsid w:val="00E33542"/>
    <w:rsid w:val="00E34A98"/>
    <w:rsid w:val="00E34B1D"/>
    <w:rsid w:val="00E35D1E"/>
    <w:rsid w:val="00E364F9"/>
    <w:rsid w:val="00E365FA"/>
    <w:rsid w:val="00E36789"/>
    <w:rsid w:val="00E423FD"/>
    <w:rsid w:val="00E44A83"/>
    <w:rsid w:val="00E47936"/>
    <w:rsid w:val="00E502C1"/>
    <w:rsid w:val="00E502DD"/>
    <w:rsid w:val="00E50D3A"/>
    <w:rsid w:val="00E51387"/>
    <w:rsid w:val="00E51E68"/>
    <w:rsid w:val="00E52EFD"/>
    <w:rsid w:val="00E539FC"/>
    <w:rsid w:val="00E5408A"/>
    <w:rsid w:val="00E56800"/>
    <w:rsid w:val="00E62FF9"/>
    <w:rsid w:val="00E6344F"/>
    <w:rsid w:val="00E635CD"/>
    <w:rsid w:val="00E635D6"/>
    <w:rsid w:val="00E639BC"/>
    <w:rsid w:val="00E63BB1"/>
    <w:rsid w:val="00E664CC"/>
    <w:rsid w:val="00E70388"/>
    <w:rsid w:val="00E70B15"/>
    <w:rsid w:val="00E70F92"/>
    <w:rsid w:val="00E7402A"/>
    <w:rsid w:val="00E74C54"/>
    <w:rsid w:val="00E76FAA"/>
    <w:rsid w:val="00E77A03"/>
    <w:rsid w:val="00E822E8"/>
    <w:rsid w:val="00E82554"/>
    <w:rsid w:val="00E82606"/>
    <w:rsid w:val="00E836BE"/>
    <w:rsid w:val="00E846C8"/>
    <w:rsid w:val="00E84957"/>
    <w:rsid w:val="00E84A55"/>
    <w:rsid w:val="00E85BFF"/>
    <w:rsid w:val="00E90391"/>
    <w:rsid w:val="00E906C2"/>
    <w:rsid w:val="00E9070B"/>
    <w:rsid w:val="00E918A6"/>
    <w:rsid w:val="00E9311F"/>
    <w:rsid w:val="00E934D1"/>
    <w:rsid w:val="00E94AF0"/>
    <w:rsid w:val="00E95D13"/>
    <w:rsid w:val="00E95DD3"/>
    <w:rsid w:val="00E969D5"/>
    <w:rsid w:val="00EA18DA"/>
    <w:rsid w:val="00EA319D"/>
    <w:rsid w:val="00EA57E4"/>
    <w:rsid w:val="00EA58D1"/>
    <w:rsid w:val="00EA6180"/>
    <w:rsid w:val="00EA61BC"/>
    <w:rsid w:val="00EA681A"/>
    <w:rsid w:val="00EA735B"/>
    <w:rsid w:val="00EB1E69"/>
    <w:rsid w:val="00EB2086"/>
    <w:rsid w:val="00EB5EDF"/>
    <w:rsid w:val="00EB60FE"/>
    <w:rsid w:val="00EB74DB"/>
    <w:rsid w:val="00EC5359"/>
    <w:rsid w:val="00EC562A"/>
    <w:rsid w:val="00ED067A"/>
    <w:rsid w:val="00ED2B50"/>
    <w:rsid w:val="00ED7761"/>
    <w:rsid w:val="00EE0350"/>
    <w:rsid w:val="00EE0719"/>
    <w:rsid w:val="00EE0E80"/>
    <w:rsid w:val="00EE4585"/>
    <w:rsid w:val="00EE613F"/>
    <w:rsid w:val="00EE69D1"/>
    <w:rsid w:val="00EE7295"/>
    <w:rsid w:val="00EE7869"/>
    <w:rsid w:val="00EF054A"/>
    <w:rsid w:val="00EF0903"/>
    <w:rsid w:val="00EF3235"/>
    <w:rsid w:val="00EF7E72"/>
    <w:rsid w:val="00F012DD"/>
    <w:rsid w:val="00F01542"/>
    <w:rsid w:val="00F029E0"/>
    <w:rsid w:val="00F06D37"/>
    <w:rsid w:val="00F07B9D"/>
    <w:rsid w:val="00F10926"/>
    <w:rsid w:val="00F11586"/>
    <w:rsid w:val="00F1183B"/>
    <w:rsid w:val="00F11C9F"/>
    <w:rsid w:val="00F12263"/>
    <w:rsid w:val="00F1409D"/>
    <w:rsid w:val="00F14214"/>
    <w:rsid w:val="00F157A9"/>
    <w:rsid w:val="00F21A03"/>
    <w:rsid w:val="00F23038"/>
    <w:rsid w:val="00F25BB6"/>
    <w:rsid w:val="00F26B7E"/>
    <w:rsid w:val="00F27A3B"/>
    <w:rsid w:val="00F33817"/>
    <w:rsid w:val="00F3447F"/>
    <w:rsid w:val="00F420D5"/>
    <w:rsid w:val="00F451EA"/>
    <w:rsid w:val="00F45447"/>
    <w:rsid w:val="00F456C6"/>
    <w:rsid w:val="00F4577B"/>
    <w:rsid w:val="00F46496"/>
    <w:rsid w:val="00F467B4"/>
    <w:rsid w:val="00F474D0"/>
    <w:rsid w:val="00F50179"/>
    <w:rsid w:val="00F55919"/>
    <w:rsid w:val="00F56511"/>
    <w:rsid w:val="00F6194E"/>
    <w:rsid w:val="00F623AC"/>
    <w:rsid w:val="00F6412A"/>
    <w:rsid w:val="00F6554E"/>
    <w:rsid w:val="00F65893"/>
    <w:rsid w:val="00F664DD"/>
    <w:rsid w:val="00F66A4A"/>
    <w:rsid w:val="00F71E22"/>
    <w:rsid w:val="00F72142"/>
    <w:rsid w:val="00F72AE7"/>
    <w:rsid w:val="00F73556"/>
    <w:rsid w:val="00F77D98"/>
    <w:rsid w:val="00F8105F"/>
    <w:rsid w:val="00F833BA"/>
    <w:rsid w:val="00F84FD0"/>
    <w:rsid w:val="00F859A8"/>
    <w:rsid w:val="00F9108B"/>
    <w:rsid w:val="00F91349"/>
    <w:rsid w:val="00F93A8A"/>
    <w:rsid w:val="00F95248"/>
    <w:rsid w:val="00F956A9"/>
    <w:rsid w:val="00F963ED"/>
    <w:rsid w:val="00F966CF"/>
    <w:rsid w:val="00F96CAE"/>
    <w:rsid w:val="00F97C99"/>
    <w:rsid w:val="00FA2747"/>
    <w:rsid w:val="00FA2AFB"/>
    <w:rsid w:val="00FA3DC2"/>
    <w:rsid w:val="00FA6206"/>
    <w:rsid w:val="00FA662D"/>
    <w:rsid w:val="00FA6730"/>
    <w:rsid w:val="00FA73B1"/>
    <w:rsid w:val="00FB0CB9"/>
    <w:rsid w:val="00FB1D8B"/>
    <w:rsid w:val="00FB45F1"/>
    <w:rsid w:val="00FB4A72"/>
    <w:rsid w:val="00FB4F38"/>
    <w:rsid w:val="00FB54E8"/>
    <w:rsid w:val="00FB6C41"/>
    <w:rsid w:val="00FB6F7B"/>
    <w:rsid w:val="00FB7054"/>
    <w:rsid w:val="00FC17B7"/>
    <w:rsid w:val="00FC20EE"/>
    <w:rsid w:val="00FC2CB7"/>
    <w:rsid w:val="00FC3D73"/>
    <w:rsid w:val="00FC4090"/>
    <w:rsid w:val="00FC4333"/>
    <w:rsid w:val="00FC55B4"/>
    <w:rsid w:val="00FC576E"/>
    <w:rsid w:val="00FC5B6D"/>
    <w:rsid w:val="00FD00E6"/>
    <w:rsid w:val="00FD0857"/>
    <w:rsid w:val="00FD09A1"/>
    <w:rsid w:val="00FD25BB"/>
    <w:rsid w:val="00FD2A7C"/>
    <w:rsid w:val="00FD59EB"/>
    <w:rsid w:val="00FD7299"/>
    <w:rsid w:val="00FE1FBE"/>
    <w:rsid w:val="00FE3901"/>
    <w:rsid w:val="00FE39D3"/>
    <w:rsid w:val="00FE4BCE"/>
    <w:rsid w:val="00FE54AE"/>
    <w:rsid w:val="00FE576A"/>
    <w:rsid w:val="00FE7E79"/>
    <w:rsid w:val="00FF238A"/>
    <w:rsid w:val="00FF2721"/>
    <w:rsid w:val="00FF3E7D"/>
    <w:rsid w:val="00FF5B99"/>
    <w:rsid w:val="00FF5EB5"/>
    <w:rsid w:val="00FF730C"/>
    <w:rsid w:val="00FF73F4"/>
    <w:rsid w:val="00FF7CE4"/>
    <w:rsid w:val="00FF7E39"/>
    <w:rsid w:val="01285592"/>
    <w:rsid w:val="02C95F7F"/>
    <w:rsid w:val="02F2197A"/>
    <w:rsid w:val="059F05F7"/>
    <w:rsid w:val="07B216D8"/>
    <w:rsid w:val="07D01B5E"/>
    <w:rsid w:val="09A13097"/>
    <w:rsid w:val="0A747118"/>
    <w:rsid w:val="0AB06D4B"/>
    <w:rsid w:val="0C073744"/>
    <w:rsid w:val="0C9475FE"/>
    <w:rsid w:val="0F0F11BE"/>
    <w:rsid w:val="10E534D2"/>
    <w:rsid w:val="122E03D0"/>
    <w:rsid w:val="12581ADC"/>
    <w:rsid w:val="1356385F"/>
    <w:rsid w:val="147C6D8F"/>
    <w:rsid w:val="15091594"/>
    <w:rsid w:val="168B5693"/>
    <w:rsid w:val="169E3A1C"/>
    <w:rsid w:val="18575642"/>
    <w:rsid w:val="1B13758F"/>
    <w:rsid w:val="1C326551"/>
    <w:rsid w:val="1D3B7877"/>
    <w:rsid w:val="1D44297A"/>
    <w:rsid w:val="1DDA746C"/>
    <w:rsid w:val="1FA22FA1"/>
    <w:rsid w:val="211E1082"/>
    <w:rsid w:val="226A2E83"/>
    <w:rsid w:val="22780641"/>
    <w:rsid w:val="24593831"/>
    <w:rsid w:val="259D3570"/>
    <w:rsid w:val="2B644C3D"/>
    <w:rsid w:val="2BD97279"/>
    <w:rsid w:val="2C6569DE"/>
    <w:rsid w:val="2D8D3349"/>
    <w:rsid w:val="2E1D524D"/>
    <w:rsid w:val="2E9221BA"/>
    <w:rsid w:val="2F4C7E72"/>
    <w:rsid w:val="31564113"/>
    <w:rsid w:val="31F4411D"/>
    <w:rsid w:val="32807969"/>
    <w:rsid w:val="32E94C4E"/>
    <w:rsid w:val="332500F7"/>
    <w:rsid w:val="352C76B9"/>
    <w:rsid w:val="36D41A55"/>
    <w:rsid w:val="375A3074"/>
    <w:rsid w:val="378974B0"/>
    <w:rsid w:val="3CBE19AA"/>
    <w:rsid w:val="3DBB14A1"/>
    <w:rsid w:val="3E99278C"/>
    <w:rsid w:val="414E0A69"/>
    <w:rsid w:val="421A3B26"/>
    <w:rsid w:val="427A361C"/>
    <w:rsid w:val="442347E8"/>
    <w:rsid w:val="45A30C40"/>
    <w:rsid w:val="46B41E7E"/>
    <w:rsid w:val="471A6376"/>
    <w:rsid w:val="4A8E50B1"/>
    <w:rsid w:val="4A993A56"/>
    <w:rsid w:val="4C485734"/>
    <w:rsid w:val="4D53613E"/>
    <w:rsid w:val="50F561F0"/>
    <w:rsid w:val="513B5867"/>
    <w:rsid w:val="531202EC"/>
    <w:rsid w:val="535D0DC2"/>
    <w:rsid w:val="54E16725"/>
    <w:rsid w:val="5A461504"/>
    <w:rsid w:val="5B6A088B"/>
    <w:rsid w:val="5D6D5AA2"/>
    <w:rsid w:val="5D861C18"/>
    <w:rsid w:val="5EEC1B71"/>
    <w:rsid w:val="62C53F1C"/>
    <w:rsid w:val="637A3FCD"/>
    <w:rsid w:val="63DB1F76"/>
    <w:rsid w:val="641628F4"/>
    <w:rsid w:val="64602C7D"/>
    <w:rsid w:val="65C37EAD"/>
    <w:rsid w:val="67133B31"/>
    <w:rsid w:val="683471B8"/>
    <w:rsid w:val="69AF5EEE"/>
    <w:rsid w:val="6A0B3BD1"/>
    <w:rsid w:val="6A401060"/>
    <w:rsid w:val="6ADD2B9E"/>
    <w:rsid w:val="6CF7668E"/>
    <w:rsid w:val="6E781A51"/>
    <w:rsid w:val="6EA32CD5"/>
    <w:rsid w:val="6F670514"/>
    <w:rsid w:val="6FB934DD"/>
    <w:rsid w:val="72E22AF7"/>
    <w:rsid w:val="73EB05CF"/>
    <w:rsid w:val="75306BE1"/>
    <w:rsid w:val="768F3796"/>
    <w:rsid w:val="76A41635"/>
    <w:rsid w:val="77D23837"/>
    <w:rsid w:val="77E85CF1"/>
    <w:rsid w:val="796870C7"/>
    <w:rsid w:val="7AC77B36"/>
    <w:rsid w:val="7B0171E3"/>
    <w:rsid w:val="7C661E25"/>
    <w:rsid w:val="7D6513F2"/>
    <w:rsid w:val="7DCE51E9"/>
    <w:rsid w:val="7ED75F99"/>
    <w:rsid w:val="7FA14DEC"/>
    <w:rsid w:val="C95FB299"/>
    <w:rsid w:val="DBC72108"/>
    <w:rsid w:val="FFEE62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0"/>
    <w:qFormat/>
    <w:uiPriority w:val="0"/>
    <w:pPr>
      <w:keepNext/>
      <w:keepLines/>
      <w:spacing w:before="260" w:after="260" w:line="416" w:lineRule="auto"/>
      <w:outlineLvl w:val="2"/>
    </w:pPr>
    <w:rPr>
      <w:b/>
      <w:bCs/>
      <w:sz w:val="32"/>
      <w:szCs w:val="32"/>
    </w:rPr>
  </w:style>
  <w:style w:type="paragraph" w:styleId="5">
    <w:name w:val="heading 4"/>
    <w:basedOn w:val="1"/>
    <w:next w:val="1"/>
    <w:link w:val="4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2"/>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3"/>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4"/>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5"/>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6"/>
    <w:qFormat/>
    <w:uiPriority w:val="0"/>
    <w:pPr>
      <w:keepNext/>
      <w:keepLines/>
      <w:adjustRightInd/>
      <w:spacing w:before="240" w:after="64" w:line="320" w:lineRule="auto"/>
      <w:outlineLvl w:val="8"/>
    </w:pPr>
    <w:rPr>
      <w:rFonts w:ascii="Arial" w:hAnsi="Arial" w:eastAsia="黑体"/>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annotation text"/>
    <w:basedOn w:val="1"/>
    <w:link w:val="242"/>
    <w:semiHidden/>
    <w:unhideWhenUsed/>
    <w:qFormat/>
    <w:uiPriority w:val="99"/>
    <w:pPr>
      <w:jc w:val="left"/>
    </w:pPr>
  </w:style>
  <w:style w:type="paragraph" w:styleId="14">
    <w:name w:val="Body Text"/>
    <w:basedOn w:val="1"/>
    <w:link w:val="90"/>
    <w:qFormat/>
    <w:uiPriority w:val="0"/>
    <w:pPr>
      <w:spacing w:after="120"/>
    </w:pPr>
  </w:style>
  <w:style w:type="paragraph" w:styleId="15">
    <w:name w:val="toc 5"/>
    <w:basedOn w:val="1"/>
    <w:next w:val="1"/>
    <w:autoRedefine/>
    <w:unhideWhenUsed/>
    <w:qFormat/>
    <w:uiPriority w:val="39"/>
    <w:pPr>
      <w:ind w:left="839"/>
    </w:pPr>
    <w:rPr>
      <w:rFonts w:ascii="宋体"/>
    </w:rPr>
  </w:style>
  <w:style w:type="paragraph" w:styleId="16">
    <w:name w:val="toc 3"/>
    <w:basedOn w:val="1"/>
    <w:next w:val="1"/>
    <w:autoRedefine/>
    <w:unhideWhenUsed/>
    <w:qFormat/>
    <w:uiPriority w:val="39"/>
    <w:pPr>
      <w:spacing w:line="300" w:lineRule="exact"/>
      <w:ind w:left="420"/>
    </w:pPr>
    <w:rPr>
      <w:rFonts w:ascii="宋体"/>
    </w:rPr>
  </w:style>
  <w:style w:type="paragraph" w:styleId="17">
    <w:name w:val="Balloon Text"/>
    <w:basedOn w:val="1"/>
    <w:link w:val="49"/>
    <w:semiHidden/>
    <w:unhideWhenUsed/>
    <w:qFormat/>
    <w:uiPriority w:val="99"/>
    <w:rPr>
      <w:sz w:val="18"/>
      <w:szCs w:val="18"/>
    </w:rPr>
  </w:style>
  <w:style w:type="paragraph" w:styleId="18">
    <w:name w:val="footer"/>
    <w:basedOn w:val="1"/>
    <w:link w:val="48"/>
    <w:qFormat/>
    <w:uiPriority w:val="99"/>
    <w:pPr>
      <w:tabs>
        <w:tab w:val="center" w:pos="4153"/>
        <w:tab w:val="right" w:pos="8306"/>
      </w:tabs>
      <w:adjustRightInd/>
      <w:snapToGrid w:val="0"/>
      <w:spacing w:line="240" w:lineRule="auto"/>
      <w:jc w:val="right"/>
    </w:pPr>
    <w:rPr>
      <w:rFonts w:ascii="宋体"/>
      <w:sz w:val="18"/>
      <w:szCs w:val="18"/>
    </w:rPr>
  </w:style>
  <w:style w:type="paragraph" w:styleId="19">
    <w:name w:val="header"/>
    <w:basedOn w:val="1"/>
    <w:link w:val="47"/>
    <w:qFormat/>
    <w:uiPriority w:val="99"/>
    <w:pPr>
      <w:tabs>
        <w:tab w:val="center" w:pos="4153"/>
        <w:tab w:val="right" w:pos="8306"/>
      </w:tabs>
      <w:adjustRightInd/>
      <w:snapToGrid w:val="0"/>
      <w:jc w:val="center"/>
    </w:pPr>
    <w:rPr>
      <w:sz w:val="18"/>
      <w:szCs w:val="18"/>
    </w:rPr>
  </w:style>
  <w:style w:type="paragraph" w:styleId="20">
    <w:name w:val="toc 1"/>
    <w:basedOn w:val="1"/>
    <w:next w:val="1"/>
    <w:autoRedefine/>
    <w:unhideWhenUsed/>
    <w:qFormat/>
    <w:uiPriority w:val="39"/>
    <w:rPr>
      <w:rFonts w:ascii="宋体"/>
    </w:rPr>
  </w:style>
  <w:style w:type="paragraph" w:styleId="21">
    <w:name w:val="toc 4"/>
    <w:basedOn w:val="1"/>
    <w:next w:val="1"/>
    <w:autoRedefine/>
    <w:unhideWhenUsed/>
    <w:qFormat/>
    <w:uiPriority w:val="39"/>
    <w:pPr>
      <w:tabs>
        <w:tab w:val="right" w:leader="dot" w:pos="9344"/>
      </w:tabs>
      <w:spacing w:line="300" w:lineRule="exact"/>
      <w:ind w:left="629"/>
    </w:pPr>
    <w:rPr>
      <w:rFonts w:ascii="宋体"/>
    </w:rPr>
  </w:style>
  <w:style w:type="paragraph" w:styleId="22">
    <w:name w:val="footnote text"/>
    <w:basedOn w:val="1"/>
    <w:next w:val="1"/>
    <w:link w:val="103"/>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3">
    <w:name w:val="toc 6"/>
    <w:basedOn w:val="1"/>
    <w:next w:val="1"/>
    <w:autoRedefine/>
    <w:unhideWhenUsed/>
    <w:qFormat/>
    <w:uiPriority w:val="39"/>
    <w:pPr>
      <w:spacing w:line="300" w:lineRule="exact"/>
      <w:ind w:left="1049"/>
    </w:pPr>
    <w:rPr>
      <w:rFonts w:ascii="宋体"/>
    </w:rPr>
  </w:style>
  <w:style w:type="paragraph" w:styleId="24">
    <w:name w:val="table of figures"/>
    <w:basedOn w:val="1"/>
    <w:next w:val="1"/>
    <w:semiHidden/>
    <w:qFormat/>
    <w:uiPriority w:val="0"/>
    <w:pPr>
      <w:adjustRightInd/>
      <w:spacing w:line="240" w:lineRule="auto"/>
      <w:jc w:val="left"/>
    </w:pPr>
    <w:rPr>
      <w:szCs w:val="24"/>
    </w:rPr>
  </w:style>
  <w:style w:type="paragraph" w:styleId="25">
    <w:name w:val="toc 2"/>
    <w:basedOn w:val="1"/>
    <w:next w:val="1"/>
    <w:autoRedefine/>
    <w:unhideWhenUsed/>
    <w:qFormat/>
    <w:uiPriority w:val="39"/>
    <w:pPr>
      <w:tabs>
        <w:tab w:val="right" w:leader="dot" w:pos="9344"/>
      </w:tabs>
      <w:spacing w:line="300" w:lineRule="exact"/>
      <w:ind w:left="210"/>
    </w:pPr>
    <w:rPr>
      <w:rFonts w:ascii="宋体"/>
    </w:rPr>
  </w:style>
  <w:style w:type="paragraph" w:styleId="26">
    <w:name w:val="Normal (Web)"/>
    <w:basedOn w:val="1"/>
    <w:unhideWhenUsed/>
    <w:qFormat/>
    <w:uiPriority w:val="99"/>
    <w:rPr>
      <w:rFonts w:ascii="Times New Roman" w:hAnsi="Times New Roman"/>
      <w:sz w:val="24"/>
      <w:szCs w:val="24"/>
    </w:rPr>
  </w:style>
  <w:style w:type="paragraph" w:styleId="27">
    <w:name w:val="Title"/>
    <w:basedOn w:val="1"/>
    <w:link w:val="52"/>
    <w:qFormat/>
    <w:uiPriority w:val="0"/>
    <w:pPr>
      <w:spacing w:before="240" w:after="60"/>
      <w:jc w:val="center"/>
      <w:outlineLvl w:val="0"/>
    </w:pPr>
    <w:rPr>
      <w:rFonts w:ascii="Arial" w:hAnsi="Arial" w:cs="Arial"/>
      <w:b/>
      <w:bCs/>
      <w:sz w:val="32"/>
      <w:szCs w:val="32"/>
    </w:rPr>
  </w:style>
  <w:style w:type="paragraph" w:styleId="28">
    <w:name w:val="annotation subject"/>
    <w:basedOn w:val="13"/>
    <w:next w:val="13"/>
    <w:link w:val="243"/>
    <w:semiHidden/>
    <w:unhideWhenUsed/>
    <w:qFormat/>
    <w:uiPriority w:val="99"/>
    <w:rPr>
      <w:b/>
      <w:bCs/>
    </w:rPr>
  </w:style>
  <w:style w:type="table" w:styleId="30">
    <w:name w:val="Table Grid"/>
    <w:basedOn w:val="2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qFormat/>
    <w:uiPriority w:val="22"/>
    <w:rPr>
      <w:b/>
      <w:bCs/>
    </w:rPr>
  </w:style>
  <w:style w:type="character" w:styleId="33">
    <w:name w:val="page number"/>
    <w:qFormat/>
    <w:uiPriority w:val="0"/>
    <w:rPr>
      <w:rFonts w:ascii="宋体" w:hAnsi="Times New Roman" w:eastAsia="宋体"/>
      <w:sz w:val="18"/>
    </w:rPr>
  </w:style>
  <w:style w:type="character" w:styleId="34">
    <w:name w:val="Emphasis"/>
    <w:qFormat/>
    <w:uiPriority w:val="20"/>
    <w:rPr>
      <w:i/>
      <w:iCs/>
    </w:rPr>
  </w:style>
  <w:style w:type="character" w:styleId="35">
    <w:name w:val="Hyperlink"/>
    <w:qFormat/>
    <w:uiPriority w:val="99"/>
    <w:rPr>
      <w:rFonts w:ascii="宋体" w:hAnsi="Times New Roman" w:eastAsia="宋体"/>
      <w:color w:val="auto"/>
      <w:spacing w:val="0"/>
      <w:w w:val="100"/>
      <w:position w:val="0"/>
      <w:sz w:val="21"/>
      <w:u w:val="none"/>
      <w:vertAlign w:val="baseline"/>
    </w:rPr>
  </w:style>
  <w:style w:type="character" w:styleId="36">
    <w:name w:val="annotation reference"/>
    <w:basedOn w:val="31"/>
    <w:semiHidden/>
    <w:unhideWhenUsed/>
    <w:qFormat/>
    <w:uiPriority w:val="99"/>
    <w:rPr>
      <w:sz w:val="21"/>
      <w:szCs w:val="21"/>
    </w:rPr>
  </w:style>
  <w:style w:type="character" w:styleId="37">
    <w:name w:val="footnote reference"/>
    <w:semiHidden/>
    <w:qFormat/>
    <w:uiPriority w:val="0"/>
    <w:rPr>
      <w:rFonts w:ascii="宋体" w:hAnsi="宋体" w:eastAsia="宋体" w:cs="Times New Roman"/>
      <w:spacing w:val="0"/>
      <w:sz w:val="18"/>
      <w:vertAlign w:val="superscript"/>
    </w:rPr>
  </w:style>
  <w:style w:type="character" w:customStyle="1" w:styleId="38">
    <w:name w:val="标题 1 字符"/>
    <w:link w:val="2"/>
    <w:qFormat/>
    <w:uiPriority w:val="0"/>
    <w:rPr>
      <w:b/>
      <w:bCs/>
      <w:kern w:val="44"/>
      <w:sz w:val="44"/>
      <w:szCs w:val="44"/>
    </w:rPr>
  </w:style>
  <w:style w:type="character" w:customStyle="1" w:styleId="39">
    <w:name w:val="标题 2 字符"/>
    <w:link w:val="3"/>
    <w:qFormat/>
    <w:uiPriority w:val="0"/>
    <w:rPr>
      <w:rFonts w:ascii="Arial" w:hAnsi="Arial" w:eastAsia="黑体"/>
      <w:b/>
      <w:bCs/>
      <w:kern w:val="2"/>
      <w:sz w:val="32"/>
      <w:szCs w:val="32"/>
    </w:rPr>
  </w:style>
  <w:style w:type="character" w:customStyle="1" w:styleId="40">
    <w:name w:val="标题 3 字符"/>
    <w:link w:val="4"/>
    <w:qFormat/>
    <w:uiPriority w:val="0"/>
    <w:rPr>
      <w:b/>
      <w:bCs/>
      <w:kern w:val="2"/>
      <w:sz w:val="32"/>
      <w:szCs w:val="32"/>
    </w:rPr>
  </w:style>
  <w:style w:type="character" w:customStyle="1" w:styleId="41">
    <w:name w:val="标题 4 字符"/>
    <w:link w:val="5"/>
    <w:qFormat/>
    <w:uiPriority w:val="0"/>
    <w:rPr>
      <w:rFonts w:ascii="Arial" w:hAnsi="Arial" w:eastAsia="黑体"/>
      <w:b/>
      <w:bCs/>
      <w:kern w:val="2"/>
      <w:sz w:val="28"/>
      <w:szCs w:val="28"/>
    </w:rPr>
  </w:style>
  <w:style w:type="character" w:customStyle="1" w:styleId="42">
    <w:name w:val="标题 5 字符"/>
    <w:link w:val="6"/>
    <w:qFormat/>
    <w:uiPriority w:val="0"/>
    <w:rPr>
      <w:b/>
      <w:bCs/>
      <w:kern w:val="2"/>
      <w:sz w:val="28"/>
      <w:szCs w:val="28"/>
    </w:rPr>
  </w:style>
  <w:style w:type="character" w:customStyle="1" w:styleId="43">
    <w:name w:val="标题 6 字符"/>
    <w:link w:val="7"/>
    <w:qFormat/>
    <w:uiPriority w:val="0"/>
    <w:rPr>
      <w:rFonts w:ascii="Arial" w:hAnsi="Arial" w:eastAsia="黑体"/>
      <w:b/>
      <w:bCs/>
      <w:kern w:val="2"/>
      <w:sz w:val="24"/>
      <w:szCs w:val="24"/>
    </w:rPr>
  </w:style>
  <w:style w:type="character" w:customStyle="1" w:styleId="44">
    <w:name w:val="标题 7 字符"/>
    <w:link w:val="8"/>
    <w:qFormat/>
    <w:uiPriority w:val="0"/>
    <w:rPr>
      <w:b/>
      <w:bCs/>
      <w:kern w:val="2"/>
      <w:sz w:val="24"/>
      <w:szCs w:val="24"/>
    </w:rPr>
  </w:style>
  <w:style w:type="character" w:customStyle="1" w:styleId="45">
    <w:name w:val="标题 8 字符"/>
    <w:link w:val="9"/>
    <w:qFormat/>
    <w:uiPriority w:val="0"/>
    <w:rPr>
      <w:rFonts w:ascii="Arial" w:hAnsi="Arial" w:eastAsia="黑体"/>
      <w:kern w:val="2"/>
      <w:sz w:val="24"/>
      <w:szCs w:val="24"/>
    </w:rPr>
  </w:style>
  <w:style w:type="character" w:customStyle="1" w:styleId="46">
    <w:name w:val="标题 9 字符"/>
    <w:link w:val="10"/>
    <w:qFormat/>
    <w:uiPriority w:val="0"/>
    <w:rPr>
      <w:rFonts w:ascii="Arial" w:hAnsi="Arial" w:eastAsia="黑体"/>
      <w:kern w:val="2"/>
      <w:sz w:val="21"/>
      <w:szCs w:val="21"/>
    </w:rPr>
  </w:style>
  <w:style w:type="character" w:customStyle="1" w:styleId="47">
    <w:name w:val="页眉 字符"/>
    <w:link w:val="19"/>
    <w:qFormat/>
    <w:uiPriority w:val="99"/>
    <w:rPr>
      <w:kern w:val="2"/>
      <w:sz w:val="18"/>
      <w:szCs w:val="18"/>
    </w:rPr>
  </w:style>
  <w:style w:type="character" w:customStyle="1" w:styleId="48">
    <w:name w:val="页脚 字符"/>
    <w:link w:val="18"/>
    <w:qFormat/>
    <w:uiPriority w:val="99"/>
    <w:rPr>
      <w:rFonts w:ascii="宋体"/>
      <w:kern w:val="2"/>
      <w:sz w:val="18"/>
      <w:szCs w:val="18"/>
    </w:rPr>
  </w:style>
  <w:style w:type="character" w:customStyle="1" w:styleId="49">
    <w:name w:val="批注框文本 字符"/>
    <w:link w:val="17"/>
    <w:semiHidden/>
    <w:qFormat/>
    <w:uiPriority w:val="99"/>
    <w:rPr>
      <w:kern w:val="2"/>
      <w:sz w:val="18"/>
      <w:szCs w:val="18"/>
    </w:rPr>
  </w:style>
  <w:style w:type="paragraph" w:styleId="50">
    <w:name w:val="Quote"/>
    <w:basedOn w:val="1"/>
    <w:next w:val="1"/>
    <w:link w:val="51"/>
    <w:qFormat/>
    <w:uiPriority w:val="29"/>
    <w:rPr>
      <w:i/>
      <w:iCs/>
      <w:color w:val="000000"/>
    </w:rPr>
  </w:style>
  <w:style w:type="character" w:customStyle="1" w:styleId="51">
    <w:name w:val="引用 字符"/>
    <w:link w:val="50"/>
    <w:qFormat/>
    <w:uiPriority w:val="29"/>
    <w:rPr>
      <w:i/>
      <w:iCs/>
      <w:color w:val="000000"/>
      <w:kern w:val="2"/>
      <w:sz w:val="21"/>
      <w:szCs w:val="21"/>
    </w:rPr>
  </w:style>
  <w:style w:type="character" w:customStyle="1" w:styleId="52">
    <w:name w:val="标题 字符"/>
    <w:link w:val="27"/>
    <w:qFormat/>
    <w:uiPriority w:val="0"/>
    <w:rPr>
      <w:rFonts w:ascii="Arial" w:hAnsi="Arial" w:cs="Arial"/>
      <w:b/>
      <w:bCs/>
      <w:kern w:val="2"/>
      <w:sz w:val="32"/>
      <w:szCs w:val="32"/>
    </w:rPr>
  </w:style>
  <w:style w:type="paragraph" w:customStyle="1" w:styleId="53">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4">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5">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6">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7">
    <w:name w:val="标准书眉一"/>
    <w:qFormat/>
    <w:uiPriority w:val="0"/>
    <w:pPr>
      <w:jc w:val="both"/>
    </w:pPr>
    <w:rPr>
      <w:rFonts w:ascii="Times New Roman" w:hAnsi="Times New Roman" w:eastAsia="宋体" w:cs="Times New Roman"/>
      <w:lang w:val="en-US" w:eastAsia="zh-CN" w:bidi="ar-SA"/>
    </w:rPr>
  </w:style>
  <w:style w:type="paragraph" w:customStyle="1" w:styleId="58">
    <w:name w:val="标准文件_ICS"/>
    <w:basedOn w:val="1"/>
    <w:qFormat/>
    <w:uiPriority w:val="0"/>
    <w:pPr>
      <w:spacing w:line="0" w:lineRule="atLeast"/>
    </w:pPr>
    <w:rPr>
      <w:rFonts w:ascii="黑体" w:hAnsi="宋体" w:eastAsia="黑体"/>
    </w:rPr>
  </w:style>
  <w:style w:type="paragraph" w:customStyle="1" w:styleId="59">
    <w:name w:val="标准文件_标准正文"/>
    <w:basedOn w:val="1"/>
    <w:next w:val="60"/>
    <w:qFormat/>
    <w:uiPriority w:val="0"/>
    <w:pPr>
      <w:snapToGrid w:val="0"/>
      <w:ind w:firstLine="200" w:firstLineChars="200"/>
    </w:pPr>
    <w:rPr>
      <w:kern w:val="0"/>
    </w:rPr>
  </w:style>
  <w:style w:type="paragraph" w:customStyle="1" w:styleId="60">
    <w:name w:val="标准文件_段"/>
    <w:link w:val="188"/>
    <w:qFormat/>
    <w:uiPriority w:val="0"/>
    <w:pPr>
      <w:autoSpaceDE w:val="0"/>
      <w:autoSpaceDN w:val="0"/>
      <w:ind w:firstLine="200" w:firstLineChars="200"/>
      <w:jc w:val="both"/>
    </w:pPr>
    <w:rPr>
      <w:rFonts w:ascii="Times New Roman" w:hAnsi="Times New Roman" w:eastAsia="宋体" w:cs="Times New Roman"/>
      <w:sz w:val="21"/>
      <w:lang w:val="en-US" w:eastAsia="zh-CN" w:bidi="ar-SA"/>
    </w:rPr>
  </w:style>
  <w:style w:type="paragraph" w:customStyle="1" w:styleId="61">
    <w:name w:val="标准文件_版本"/>
    <w:basedOn w:val="59"/>
    <w:qFormat/>
    <w:uiPriority w:val="0"/>
    <w:pPr>
      <w:adjustRightInd/>
      <w:snapToGrid/>
      <w:ind w:firstLine="0" w:firstLineChars="0"/>
    </w:pPr>
    <w:rPr>
      <w:rFonts w:ascii="宋体" w:hAnsi="宋体"/>
      <w:kern w:val="2"/>
    </w:rPr>
  </w:style>
  <w:style w:type="paragraph" w:customStyle="1" w:styleId="62">
    <w:name w:val="标准文件_标准部门"/>
    <w:basedOn w:val="1"/>
    <w:qFormat/>
    <w:uiPriority w:val="0"/>
    <w:pPr>
      <w:jc w:val="center"/>
    </w:pPr>
    <w:rPr>
      <w:rFonts w:ascii="黑体" w:eastAsia="黑体"/>
      <w:kern w:val="0"/>
      <w:sz w:val="44"/>
    </w:rPr>
  </w:style>
  <w:style w:type="paragraph" w:customStyle="1" w:styleId="63">
    <w:name w:val="标准文件_标准代替"/>
    <w:basedOn w:val="1"/>
    <w:next w:val="1"/>
    <w:qFormat/>
    <w:uiPriority w:val="0"/>
    <w:pPr>
      <w:spacing w:line="310" w:lineRule="exact"/>
      <w:jc w:val="right"/>
    </w:pPr>
    <w:rPr>
      <w:rFonts w:ascii="宋体" w:hAnsi="宋体"/>
      <w:kern w:val="0"/>
    </w:rPr>
  </w:style>
  <w:style w:type="paragraph" w:customStyle="1" w:styleId="64">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5">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6">
    <w:name w:val="标准文件_页眉偶数页"/>
    <w:basedOn w:val="65"/>
    <w:next w:val="1"/>
    <w:qFormat/>
    <w:uiPriority w:val="0"/>
    <w:pPr>
      <w:jc w:val="left"/>
    </w:pPr>
  </w:style>
  <w:style w:type="paragraph" w:customStyle="1" w:styleId="67">
    <w:name w:val="标准文件_参考文献标题"/>
    <w:basedOn w:val="1"/>
    <w:next w:val="1"/>
    <w:qFormat/>
    <w:uiPriority w:val="0"/>
    <w:pPr>
      <w:widowControl/>
      <w:shd w:val="clear" w:color="FFFFFF" w:fill="FFFFFF"/>
      <w:adjustRightInd/>
      <w:spacing w:before="560" w:afterLines="50" w:line="240" w:lineRule="auto"/>
      <w:jc w:val="center"/>
      <w:outlineLvl w:val="0"/>
    </w:pPr>
    <w:rPr>
      <w:rFonts w:ascii="黑体" w:eastAsia="黑体"/>
      <w:kern w:val="0"/>
    </w:rPr>
  </w:style>
  <w:style w:type="paragraph" w:customStyle="1" w:styleId="68">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9">
    <w:name w:val="标准文件_二级条标题"/>
    <w:next w:val="60"/>
    <w:qFormat/>
    <w:uiPriority w:val="0"/>
    <w:pPr>
      <w:widowControl w:val="0"/>
      <w:numPr>
        <w:ilvl w:val="3"/>
        <w:numId w:val="2"/>
      </w:numPr>
      <w:spacing w:beforeLines="50" w:afterLines="50"/>
      <w:jc w:val="both"/>
      <w:outlineLvl w:val="2"/>
    </w:pPr>
    <w:rPr>
      <w:rFonts w:ascii="黑体" w:hAnsi="Times New Roman" w:eastAsia="黑体" w:cs="Times New Roman"/>
      <w:sz w:val="21"/>
      <w:lang w:val="en-US" w:eastAsia="zh-CN" w:bidi="ar-SA"/>
    </w:rPr>
  </w:style>
  <w:style w:type="character" w:customStyle="1" w:styleId="70">
    <w:name w:val="标准文件_发布"/>
    <w:qFormat/>
    <w:uiPriority w:val="0"/>
    <w:rPr>
      <w:rFonts w:ascii="黑体" w:eastAsia="黑体"/>
      <w:spacing w:val="0"/>
      <w:w w:val="100"/>
      <w:position w:val="3"/>
      <w:sz w:val="28"/>
    </w:rPr>
  </w:style>
  <w:style w:type="paragraph" w:customStyle="1" w:styleId="71">
    <w:name w:val="标准文件_方框数字列项"/>
    <w:basedOn w:val="60"/>
    <w:qFormat/>
    <w:uiPriority w:val="0"/>
    <w:pPr>
      <w:numPr>
        <w:ilvl w:val="0"/>
        <w:numId w:val="3"/>
      </w:numPr>
      <w:ind w:firstLine="0" w:firstLineChars="0"/>
    </w:pPr>
  </w:style>
  <w:style w:type="paragraph" w:customStyle="1" w:styleId="72">
    <w:name w:val="标准文件_封面标准编号"/>
    <w:basedOn w:val="1"/>
    <w:next w:val="63"/>
    <w:qFormat/>
    <w:uiPriority w:val="0"/>
    <w:pPr>
      <w:spacing w:line="310" w:lineRule="exact"/>
      <w:jc w:val="right"/>
    </w:pPr>
    <w:rPr>
      <w:rFonts w:ascii="黑体" w:eastAsia="黑体"/>
      <w:kern w:val="0"/>
      <w:sz w:val="28"/>
    </w:rPr>
  </w:style>
  <w:style w:type="paragraph" w:customStyle="1" w:styleId="73">
    <w:name w:val="标准文件_封面标准分类号"/>
    <w:basedOn w:val="1"/>
    <w:qFormat/>
    <w:uiPriority w:val="0"/>
    <w:rPr>
      <w:rFonts w:ascii="黑体" w:eastAsia="黑体"/>
      <w:b/>
      <w:kern w:val="0"/>
      <w:sz w:val="28"/>
    </w:rPr>
  </w:style>
  <w:style w:type="paragraph" w:customStyle="1" w:styleId="74">
    <w:name w:val="标准文件_封面标准名称"/>
    <w:basedOn w:val="1"/>
    <w:qFormat/>
    <w:uiPriority w:val="0"/>
    <w:pPr>
      <w:spacing w:line="240" w:lineRule="auto"/>
      <w:jc w:val="center"/>
    </w:pPr>
    <w:rPr>
      <w:rFonts w:ascii="黑体" w:eastAsia="黑体"/>
      <w:kern w:val="0"/>
      <w:sz w:val="52"/>
    </w:rPr>
  </w:style>
  <w:style w:type="paragraph" w:customStyle="1" w:styleId="75">
    <w:name w:val="标准文件_封面标准英文名称"/>
    <w:basedOn w:val="1"/>
    <w:qFormat/>
    <w:uiPriority w:val="0"/>
    <w:pPr>
      <w:spacing w:line="240" w:lineRule="auto"/>
      <w:jc w:val="center"/>
    </w:pPr>
    <w:rPr>
      <w:rFonts w:ascii="黑体" w:eastAsia="黑体"/>
      <w:b/>
      <w:sz w:val="28"/>
    </w:rPr>
  </w:style>
  <w:style w:type="paragraph" w:customStyle="1" w:styleId="76">
    <w:name w:val="标准文件_封面发布日期"/>
    <w:basedOn w:val="1"/>
    <w:qFormat/>
    <w:uiPriority w:val="0"/>
    <w:pPr>
      <w:spacing w:line="310" w:lineRule="exact"/>
    </w:pPr>
    <w:rPr>
      <w:rFonts w:ascii="黑体" w:eastAsia="黑体"/>
      <w:kern w:val="0"/>
      <w:sz w:val="28"/>
    </w:rPr>
  </w:style>
  <w:style w:type="paragraph" w:customStyle="1" w:styleId="77">
    <w:name w:val="标准文件_封面密级"/>
    <w:basedOn w:val="1"/>
    <w:qFormat/>
    <w:uiPriority w:val="0"/>
    <w:rPr>
      <w:rFonts w:eastAsia="黑体"/>
      <w:sz w:val="32"/>
    </w:rPr>
  </w:style>
  <w:style w:type="paragraph" w:customStyle="1" w:styleId="78">
    <w:name w:val="标准文件_封面实施日期"/>
    <w:basedOn w:val="1"/>
    <w:qFormat/>
    <w:uiPriority w:val="0"/>
    <w:pPr>
      <w:spacing w:line="310" w:lineRule="exact"/>
      <w:jc w:val="right"/>
    </w:pPr>
    <w:rPr>
      <w:rFonts w:ascii="黑体" w:eastAsia="黑体"/>
      <w:sz w:val="28"/>
    </w:rPr>
  </w:style>
  <w:style w:type="paragraph" w:customStyle="1" w:styleId="79">
    <w:name w:val="标准文件_封面抬头"/>
    <w:basedOn w:val="60"/>
    <w:link w:val="248"/>
    <w:qFormat/>
    <w:uiPriority w:val="0"/>
    <w:pPr>
      <w:adjustRightInd w:val="0"/>
      <w:spacing w:line="800" w:lineRule="exact"/>
      <w:ind w:firstLine="0" w:firstLineChars="0"/>
      <w:jc w:val="distribute"/>
    </w:pPr>
    <w:rPr>
      <w:rFonts w:ascii="黑体" w:eastAsia="黑体"/>
      <w:b/>
      <w:sz w:val="64"/>
    </w:rPr>
  </w:style>
  <w:style w:type="paragraph" w:customStyle="1" w:styleId="80">
    <w:name w:val="标准文件_附录标识"/>
    <w:next w:val="60"/>
    <w:link w:val="249"/>
    <w:qFormat/>
    <w:uiPriority w:val="0"/>
    <w:pPr>
      <w:numPr>
        <w:ilvl w:val="0"/>
        <w:numId w:val="4"/>
      </w:numPr>
      <w:shd w:val="clear" w:color="FFFFFF" w:fill="FFFFFF"/>
      <w:tabs>
        <w:tab w:val="left" w:pos="6406"/>
      </w:tabs>
      <w:spacing w:before="560" w:afterLines="50"/>
      <w:ind w:left="0"/>
      <w:jc w:val="center"/>
      <w:outlineLvl w:val="0"/>
    </w:pPr>
    <w:rPr>
      <w:rFonts w:ascii="黑体" w:hAnsi="Times New Roman" w:eastAsia="黑体" w:cs="Times New Roman"/>
      <w:sz w:val="21"/>
      <w:lang w:val="en-US" w:eastAsia="zh-CN" w:bidi="ar-SA"/>
    </w:rPr>
  </w:style>
  <w:style w:type="paragraph" w:customStyle="1" w:styleId="81">
    <w:name w:val="标准文件_附录表标题"/>
    <w:next w:val="60"/>
    <w:link w:val="250"/>
    <w:qFormat/>
    <w:uiPriority w:val="0"/>
    <w:pPr>
      <w:numPr>
        <w:ilvl w:val="1"/>
        <w:numId w:val="5"/>
      </w:numPr>
      <w:adjustRightInd w:val="0"/>
      <w:snapToGrid w:val="0"/>
      <w:spacing w:beforeLines="50" w:afterLines="50"/>
      <w:jc w:val="center"/>
      <w:textAlignment w:val="baseline"/>
    </w:pPr>
    <w:rPr>
      <w:rFonts w:ascii="黑体" w:hAnsi="Times New Roman" w:eastAsia="黑体" w:cs="Times New Roman"/>
      <w:kern w:val="21"/>
      <w:sz w:val="21"/>
      <w:lang w:val="en-US" w:eastAsia="zh-CN" w:bidi="ar-SA"/>
    </w:rPr>
  </w:style>
  <w:style w:type="paragraph" w:customStyle="1" w:styleId="82">
    <w:name w:val="标准文件_附录一级条标题"/>
    <w:next w:val="60"/>
    <w:link w:val="251"/>
    <w:qFormat/>
    <w:uiPriority w:val="0"/>
    <w:pPr>
      <w:widowControl w:val="0"/>
      <w:numPr>
        <w:ilvl w:val="1"/>
        <w:numId w:val="4"/>
      </w:numPr>
      <w:spacing w:beforeLines="50" w:afterLines="50"/>
      <w:jc w:val="both"/>
      <w:outlineLvl w:val="2"/>
    </w:pPr>
    <w:rPr>
      <w:rFonts w:ascii="黑体" w:hAnsi="Times New Roman" w:eastAsia="黑体" w:cs="Times New Roman"/>
      <w:kern w:val="21"/>
      <w:sz w:val="21"/>
      <w:lang w:val="en-US" w:eastAsia="zh-CN" w:bidi="ar-SA"/>
    </w:rPr>
  </w:style>
  <w:style w:type="paragraph" w:customStyle="1" w:styleId="83">
    <w:name w:val="标准文件_附录二级条标题"/>
    <w:basedOn w:val="82"/>
    <w:next w:val="60"/>
    <w:link w:val="252"/>
    <w:qFormat/>
    <w:uiPriority w:val="0"/>
    <w:pPr>
      <w:widowControl/>
      <w:numPr>
        <w:ilvl w:val="2"/>
      </w:numPr>
      <w:wordWrap w:val="0"/>
      <w:overflowPunct w:val="0"/>
      <w:autoSpaceDE w:val="0"/>
      <w:autoSpaceDN w:val="0"/>
      <w:ind w:left="0"/>
      <w:textAlignment w:val="baseline"/>
      <w:outlineLvl w:val="3"/>
    </w:pPr>
  </w:style>
  <w:style w:type="paragraph" w:customStyle="1" w:styleId="84">
    <w:name w:val="标准文件_附录公式"/>
    <w:basedOn w:val="59"/>
    <w:next w:val="59"/>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5">
    <w:name w:val="标准文件_附录三级条标题"/>
    <w:next w:val="60"/>
    <w:qFormat/>
    <w:uiPriority w:val="0"/>
    <w:pPr>
      <w:widowControl w:val="0"/>
      <w:numPr>
        <w:ilvl w:val="3"/>
        <w:numId w:val="4"/>
      </w:numPr>
      <w:spacing w:beforeLines="50" w:afterLines="50"/>
      <w:jc w:val="both"/>
      <w:outlineLvl w:val="4"/>
    </w:pPr>
    <w:rPr>
      <w:rFonts w:ascii="黑体" w:hAnsi="Times New Roman" w:eastAsia="黑体" w:cs="Times New Roman"/>
      <w:kern w:val="21"/>
      <w:sz w:val="21"/>
      <w:lang w:val="en-US" w:eastAsia="zh-CN" w:bidi="ar-SA"/>
    </w:rPr>
  </w:style>
  <w:style w:type="paragraph" w:customStyle="1" w:styleId="86">
    <w:name w:val="标准文件_附录四级条标题"/>
    <w:next w:val="60"/>
    <w:qFormat/>
    <w:uiPriority w:val="0"/>
    <w:pPr>
      <w:widowControl w:val="0"/>
      <w:numPr>
        <w:ilvl w:val="4"/>
        <w:numId w:val="4"/>
      </w:numPr>
      <w:spacing w:beforeLines="50" w:afterLines="50"/>
      <w:jc w:val="both"/>
      <w:outlineLvl w:val="5"/>
    </w:pPr>
    <w:rPr>
      <w:rFonts w:ascii="黑体" w:hAnsi="Times New Roman" w:eastAsia="黑体" w:cs="Times New Roman"/>
      <w:kern w:val="21"/>
      <w:sz w:val="21"/>
      <w:lang w:val="en-US" w:eastAsia="zh-CN" w:bidi="ar-SA"/>
    </w:rPr>
  </w:style>
  <w:style w:type="paragraph" w:customStyle="1" w:styleId="87">
    <w:name w:val="标准文件_附录图标题"/>
    <w:next w:val="60"/>
    <w:qFormat/>
    <w:uiPriority w:val="0"/>
    <w:pPr>
      <w:numPr>
        <w:ilvl w:val="1"/>
        <w:numId w:val="6"/>
      </w:numPr>
      <w:adjustRightInd w:val="0"/>
      <w:snapToGrid w:val="0"/>
      <w:spacing w:beforeLines="50" w:afterLines="50"/>
      <w:jc w:val="center"/>
    </w:pPr>
    <w:rPr>
      <w:rFonts w:ascii="黑体" w:hAnsi="Times New Roman" w:eastAsia="黑体" w:cs="Times New Roman"/>
      <w:sz w:val="21"/>
      <w:lang w:val="en-US" w:eastAsia="zh-CN" w:bidi="ar-SA"/>
    </w:rPr>
  </w:style>
  <w:style w:type="paragraph" w:customStyle="1" w:styleId="88">
    <w:name w:val="标准文件_附录五级条标题"/>
    <w:next w:val="60"/>
    <w:qFormat/>
    <w:uiPriority w:val="0"/>
    <w:pPr>
      <w:widowControl w:val="0"/>
      <w:numPr>
        <w:ilvl w:val="5"/>
        <w:numId w:val="4"/>
      </w:numPr>
      <w:spacing w:beforeLines="50" w:afterLines="50"/>
      <w:jc w:val="both"/>
      <w:outlineLvl w:val="6"/>
    </w:pPr>
    <w:rPr>
      <w:rFonts w:ascii="黑体" w:hAnsi="Times New Roman" w:eastAsia="黑体" w:cs="Times New Roman"/>
      <w:kern w:val="21"/>
      <w:sz w:val="21"/>
      <w:lang w:val="en-US" w:eastAsia="zh-CN" w:bidi="ar-SA"/>
    </w:rPr>
  </w:style>
  <w:style w:type="paragraph" w:customStyle="1" w:styleId="89">
    <w:name w:val="标准文件_附录英文标识"/>
    <w:next w:val="14"/>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90">
    <w:name w:val="正文文本 字符"/>
    <w:link w:val="14"/>
    <w:qFormat/>
    <w:uiPriority w:val="0"/>
    <w:rPr>
      <w:kern w:val="2"/>
      <w:sz w:val="21"/>
      <w:szCs w:val="21"/>
    </w:rPr>
  </w:style>
  <w:style w:type="paragraph" w:customStyle="1" w:styleId="91">
    <w:name w:val="标准文件_附录章标题"/>
    <w:next w:val="60"/>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2">
    <w:name w:val="标准文件_公式后的破折号"/>
    <w:basedOn w:val="60"/>
    <w:next w:val="60"/>
    <w:qFormat/>
    <w:uiPriority w:val="0"/>
    <w:pPr>
      <w:ind w:left="488" w:leftChars="200" w:hanging="289" w:hangingChars="290"/>
    </w:pPr>
  </w:style>
  <w:style w:type="paragraph" w:customStyle="1" w:styleId="93">
    <w:name w:val="标准文件_前言、引言标题"/>
    <w:next w:val="1"/>
    <w:qFormat/>
    <w:uiPriority w:val="0"/>
    <w:pPr>
      <w:numPr>
        <w:ilvl w:val="0"/>
        <w:numId w:val="8"/>
      </w:numPr>
      <w:shd w:val="clear" w:color="FFFFFF" w:fill="FFFFFF"/>
      <w:spacing w:before="480" w:afterLines="150"/>
      <w:jc w:val="center"/>
      <w:outlineLvl w:val="0"/>
    </w:pPr>
    <w:rPr>
      <w:rFonts w:ascii="黑体" w:hAnsi="Times New Roman" w:eastAsia="黑体" w:cs="Times New Roman"/>
      <w:sz w:val="32"/>
      <w:lang w:val="en-US" w:eastAsia="zh-CN" w:bidi="ar-SA"/>
    </w:rPr>
  </w:style>
  <w:style w:type="paragraph" w:customStyle="1" w:styleId="94">
    <w:name w:val="标准文件_目次、标准名称标题"/>
    <w:basedOn w:val="93"/>
    <w:next w:val="60"/>
    <w:qFormat/>
    <w:uiPriority w:val="0"/>
    <w:pPr>
      <w:spacing w:line="460" w:lineRule="exact"/>
      <w:ind w:left="0" w:firstLine="0"/>
    </w:pPr>
  </w:style>
  <w:style w:type="paragraph" w:customStyle="1" w:styleId="95">
    <w:name w:val="标准文件_目录标题"/>
    <w:basedOn w:val="1"/>
    <w:qFormat/>
    <w:uiPriority w:val="0"/>
    <w:pPr>
      <w:spacing w:before="480" w:afterLines="150" w:line="240" w:lineRule="auto"/>
      <w:jc w:val="center"/>
    </w:pPr>
    <w:rPr>
      <w:rFonts w:ascii="黑体" w:eastAsia="黑体"/>
      <w:sz w:val="32"/>
    </w:rPr>
  </w:style>
  <w:style w:type="paragraph" w:customStyle="1" w:styleId="96">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7">
    <w:name w:val="标准文件_破折号列项（二级）"/>
    <w:basedOn w:val="96"/>
    <w:qFormat/>
    <w:uiPriority w:val="0"/>
    <w:pPr>
      <w:numPr>
        <w:numId w:val="10"/>
      </w:numPr>
    </w:pPr>
  </w:style>
  <w:style w:type="paragraph" w:customStyle="1" w:styleId="98">
    <w:name w:val="标准文件_三级条标题"/>
    <w:basedOn w:val="69"/>
    <w:next w:val="60"/>
    <w:qFormat/>
    <w:uiPriority w:val="0"/>
    <w:pPr>
      <w:widowControl/>
      <w:numPr>
        <w:ilvl w:val="4"/>
      </w:numPr>
      <w:outlineLvl w:val="3"/>
    </w:pPr>
  </w:style>
  <w:style w:type="character" w:customStyle="1" w:styleId="99">
    <w:name w:val="不明显参考1"/>
    <w:qFormat/>
    <w:uiPriority w:val="31"/>
    <w:rPr>
      <w:smallCaps/>
      <w:color w:val="C0504D"/>
      <w:u w:val="single"/>
    </w:rPr>
  </w:style>
  <w:style w:type="paragraph" w:customStyle="1" w:styleId="100">
    <w:name w:val="标准文件_示例后续"/>
    <w:basedOn w:val="1"/>
    <w:qFormat/>
    <w:uiPriority w:val="0"/>
    <w:pPr>
      <w:adjustRightInd/>
      <w:spacing w:line="240" w:lineRule="auto"/>
      <w:ind w:firstLine="200" w:firstLineChars="200"/>
    </w:pPr>
    <w:rPr>
      <w:sz w:val="18"/>
      <w:szCs w:val="24"/>
    </w:rPr>
  </w:style>
  <w:style w:type="paragraph" w:customStyle="1" w:styleId="101">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02">
    <w:name w:val="标准文件_四级条标题"/>
    <w:next w:val="60"/>
    <w:qFormat/>
    <w:uiPriority w:val="0"/>
    <w:pPr>
      <w:widowControl w:val="0"/>
      <w:numPr>
        <w:ilvl w:val="5"/>
        <w:numId w:val="2"/>
      </w:numPr>
      <w:spacing w:beforeLines="50" w:afterLines="50"/>
      <w:jc w:val="both"/>
      <w:outlineLvl w:val="4"/>
    </w:pPr>
    <w:rPr>
      <w:rFonts w:ascii="黑体" w:hAnsi="Times New Roman" w:eastAsia="黑体" w:cs="Times New Roman"/>
      <w:sz w:val="21"/>
      <w:lang w:val="en-US" w:eastAsia="zh-CN" w:bidi="ar-SA"/>
    </w:rPr>
  </w:style>
  <w:style w:type="character" w:customStyle="1" w:styleId="103">
    <w:name w:val="脚注文本 字符"/>
    <w:link w:val="22"/>
    <w:semiHidden/>
    <w:qFormat/>
    <w:uiPriority w:val="0"/>
    <w:rPr>
      <w:rFonts w:ascii="宋体"/>
      <w:kern w:val="2"/>
      <w:sz w:val="18"/>
      <w:szCs w:val="18"/>
    </w:rPr>
  </w:style>
  <w:style w:type="paragraph" w:customStyle="1" w:styleId="104">
    <w:name w:val="标准文件_条文脚注"/>
    <w:basedOn w:val="22"/>
    <w:qFormat/>
    <w:uiPriority w:val="0"/>
    <w:pPr>
      <w:adjustRightInd w:val="0"/>
      <w:spacing w:line="240" w:lineRule="auto"/>
      <w:ind w:left="0" w:leftChars="0" w:firstLine="200" w:firstLineChars="200"/>
      <w:jc w:val="both"/>
    </w:pPr>
    <w:rPr>
      <w:rFonts w:hAnsi="宋体"/>
    </w:rPr>
  </w:style>
  <w:style w:type="paragraph" w:customStyle="1" w:styleId="105">
    <w:name w:val="标准文件_图表脚注"/>
    <w:basedOn w:val="1"/>
    <w:next w:val="60"/>
    <w:qFormat/>
    <w:uiPriority w:val="0"/>
    <w:pPr>
      <w:numPr>
        <w:ilvl w:val="0"/>
        <w:numId w:val="12"/>
      </w:numPr>
      <w:spacing w:line="240" w:lineRule="auto"/>
      <w:jc w:val="left"/>
    </w:pPr>
    <w:rPr>
      <w:rFonts w:ascii="宋体" w:hAnsi="宋体"/>
      <w:sz w:val="18"/>
    </w:rPr>
  </w:style>
  <w:style w:type="character" w:customStyle="1" w:styleId="106">
    <w:name w:val="标准文件_图表脚注内容"/>
    <w:qFormat/>
    <w:uiPriority w:val="0"/>
    <w:rPr>
      <w:rFonts w:ascii="宋体" w:hAnsi="宋体" w:eastAsia="宋体" w:cs="Times New Roman"/>
      <w:spacing w:val="0"/>
      <w:sz w:val="18"/>
      <w:vertAlign w:val="superscript"/>
    </w:rPr>
  </w:style>
  <w:style w:type="paragraph" w:customStyle="1" w:styleId="107">
    <w:name w:val="标准文件_五级条标题"/>
    <w:next w:val="60"/>
    <w:qFormat/>
    <w:uiPriority w:val="0"/>
    <w:pPr>
      <w:widowControl w:val="0"/>
      <w:numPr>
        <w:ilvl w:val="6"/>
        <w:numId w:val="2"/>
      </w:numPr>
      <w:spacing w:beforeLines="50" w:afterLines="50"/>
      <w:jc w:val="both"/>
      <w:outlineLvl w:val="5"/>
    </w:pPr>
    <w:rPr>
      <w:rFonts w:ascii="黑体" w:hAnsi="Times New Roman" w:eastAsia="黑体" w:cs="Times New Roman"/>
      <w:sz w:val="21"/>
      <w:lang w:val="en-US" w:eastAsia="zh-CN" w:bidi="ar-SA"/>
    </w:rPr>
  </w:style>
  <w:style w:type="paragraph" w:customStyle="1" w:styleId="108">
    <w:name w:val="标准文件_章标题"/>
    <w:next w:val="60"/>
    <w:qFormat/>
    <w:uiPriority w:val="0"/>
    <w:pPr>
      <w:numPr>
        <w:ilvl w:val="1"/>
        <w:numId w:val="2"/>
      </w:numPr>
      <w:spacing w:beforeLines="100" w:afterLines="100"/>
      <w:jc w:val="both"/>
      <w:outlineLvl w:val="0"/>
    </w:pPr>
    <w:rPr>
      <w:rFonts w:ascii="黑体" w:hAnsi="Times New Roman" w:eastAsia="黑体" w:cs="Times New Roman"/>
      <w:sz w:val="21"/>
      <w:lang w:val="en-US" w:eastAsia="zh-CN" w:bidi="ar-SA"/>
    </w:rPr>
  </w:style>
  <w:style w:type="paragraph" w:customStyle="1" w:styleId="109">
    <w:name w:val="标准文件_一级条标题"/>
    <w:basedOn w:val="108"/>
    <w:next w:val="60"/>
    <w:qFormat/>
    <w:uiPriority w:val="0"/>
    <w:pPr>
      <w:numPr>
        <w:ilvl w:val="2"/>
      </w:numPr>
      <w:spacing w:beforeLines="50" w:afterLines="50"/>
      <w:outlineLvl w:val="1"/>
    </w:pPr>
  </w:style>
  <w:style w:type="paragraph" w:customStyle="1" w:styleId="110">
    <w:name w:val="标准文件_一致程度"/>
    <w:basedOn w:val="1"/>
    <w:qFormat/>
    <w:uiPriority w:val="0"/>
    <w:pPr>
      <w:spacing w:line="440" w:lineRule="exact"/>
      <w:jc w:val="center"/>
    </w:pPr>
    <w:rPr>
      <w:sz w:val="28"/>
    </w:rPr>
  </w:style>
  <w:style w:type="paragraph" w:customStyle="1" w:styleId="111">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2">
    <w:name w:val="标准文件_英文图表脚注"/>
    <w:basedOn w:val="59"/>
    <w:qFormat/>
    <w:uiPriority w:val="0"/>
    <w:pPr>
      <w:widowControl/>
      <w:adjustRightInd/>
      <w:snapToGrid/>
      <w:spacing w:line="240" w:lineRule="auto"/>
      <w:ind w:left="79" w:hanging="79" w:hangingChars="80"/>
    </w:pPr>
    <w:rPr>
      <w:rFonts w:ascii="宋体" w:hAnsi="宋体"/>
    </w:rPr>
  </w:style>
  <w:style w:type="paragraph" w:customStyle="1" w:styleId="113">
    <w:name w:val="标准文件_数字编号列项（二级）"/>
    <w:qFormat/>
    <w:uiPriority w:val="0"/>
    <w:pPr>
      <w:numPr>
        <w:ilvl w:val="1"/>
        <w:numId w:val="13"/>
      </w:numPr>
      <w:tabs>
        <w:tab w:val="left" w:pos="851"/>
      </w:tabs>
      <w:jc w:val="both"/>
    </w:pPr>
    <w:rPr>
      <w:rFonts w:ascii="宋体" w:hAnsi="Times New Roman" w:eastAsia="宋体" w:cs="Times New Roman"/>
      <w:sz w:val="21"/>
      <w:lang w:val="en-US" w:eastAsia="zh-CN" w:bidi="ar-SA"/>
    </w:rPr>
  </w:style>
  <w:style w:type="paragraph" w:customStyle="1" w:styleId="114">
    <w:name w:val="标准文件_英文注："/>
    <w:basedOn w:val="1"/>
    <w:next w:val="60"/>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5">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6">
    <w:name w:val="标准文件_正文表标题"/>
    <w:next w:val="60"/>
    <w:qFormat/>
    <w:uiPriority w:val="0"/>
    <w:pPr>
      <w:numPr>
        <w:ilvl w:val="0"/>
        <w:numId w:val="16"/>
      </w:numPr>
      <w:tabs>
        <w:tab w:val="left" w:pos="0"/>
      </w:tabs>
      <w:spacing w:beforeLines="50" w:afterLines="50"/>
      <w:jc w:val="center"/>
    </w:pPr>
    <w:rPr>
      <w:rFonts w:ascii="黑体" w:hAnsi="Times New Roman" w:eastAsia="黑体" w:cs="Times New Roman"/>
      <w:sz w:val="21"/>
      <w:lang w:val="en-US" w:eastAsia="zh-CN" w:bidi="ar-SA"/>
    </w:rPr>
  </w:style>
  <w:style w:type="paragraph" w:customStyle="1" w:styleId="117">
    <w:name w:val="标准文件_正文公式"/>
    <w:basedOn w:val="1"/>
    <w:next w:val="59"/>
    <w:qFormat/>
    <w:uiPriority w:val="0"/>
    <w:pPr>
      <w:tabs>
        <w:tab w:val="center" w:pos="4678"/>
        <w:tab w:val="right" w:leader="middleDot" w:pos="9356"/>
      </w:tabs>
      <w:spacing w:line="240" w:lineRule="auto"/>
    </w:pPr>
    <w:rPr>
      <w:rFonts w:ascii="宋体" w:hAnsi="宋体"/>
    </w:rPr>
  </w:style>
  <w:style w:type="paragraph" w:customStyle="1" w:styleId="118">
    <w:name w:val="标准文件_正文图标题"/>
    <w:next w:val="60"/>
    <w:qFormat/>
    <w:uiPriority w:val="0"/>
    <w:pPr>
      <w:numPr>
        <w:ilvl w:val="0"/>
        <w:numId w:val="17"/>
      </w:numPr>
      <w:spacing w:beforeLines="50" w:afterLines="50"/>
      <w:jc w:val="center"/>
    </w:pPr>
    <w:rPr>
      <w:rFonts w:ascii="黑体" w:hAnsi="Times New Roman" w:eastAsia="黑体" w:cs="Times New Roman"/>
      <w:sz w:val="21"/>
      <w:lang w:val="en-US" w:eastAsia="zh-CN" w:bidi="ar-SA"/>
    </w:rPr>
  </w:style>
  <w:style w:type="paragraph" w:customStyle="1" w:styleId="119">
    <w:name w:val="标准文件_正文英文表标题"/>
    <w:next w:val="60"/>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20">
    <w:name w:val="标准文件_正文英文图标题"/>
    <w:next w:val="60"/>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21">
    <w:name w:val="标准文件_编号列项（三级）"/>
    <w:qFormat/>
    <w:uiPriority w:val="0"/>
    <w:pPr>
      <w:numPr>
        <w:ilvl w:val="2"/>
        <w:numId w:val="13"/>
      </w:numPr>
      <w:tabs>
        <w:tab w:val="left" w:pos="851"/>
      </w:tabs>
    </w:pPr>
    <w:rPr>
      <w:rFonts w:ascii="宋体" w:hAnsi="Times New Roman" w:eastAsia="宋体" w:cs="Times New Roman"/>
      <w:sz w:val="21"/>
      <w:lang w:val="en-US" w:eastAsia="zh-CN" w:bidi="ar-SA"/>
    </w:rPr>
  </w:style>
  <w:style w:type="paragraph" w:customStyle="1" w:styleId="122">
    <w:name w:val="二级无标题条"/>
    <w:basedOn w:val="1"/>
    <w:qFormat/>
    <w:uiPriority w:val="0"/>
    <w:pPr>
      <w:numPr>
        <w:ilvl w:val="3"/>
        <w:numId w:val="20"/>
      </w:numPr>
      <w:adjustRightInd/>
      <w:spacing w:line="240" w:lineRule="auto"/>
    </w:pPr>
    <w:rPr>
      <w:rFonts w:ascii="宋体" w:hAnsi="宋体"/>
      <w:szCs w:val="24"/>
    </w:rPr>
  </w:style>
  <w:style w:type="paragraph" w:customStyle="1" w:styleId="123">
    <w:name w:val="发布部门"/>
    <w:next w:val="60"/>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4">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5">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6">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7">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8">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9">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30">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31">
    <w:name w:val="封面正文"/>
    <w:qFormat/>
    <w:uiPriority w:val="0"/>
    <w:pPr>
      <w:jc w:val="both"/>
    </w:pPr>
    <w:rPr>
      <w:rFonts w:ascii="Times New Roman" w:hAnsi="Times New Roman" w:eastAsia="宋体" w:cs="Times New Roman"/>
      <w:lang w:val="en-US" w:eastAsia="zh-CN" w:bidi="ar-SA"/>
    </w:rPr>
  </w:style>
  <w:style w:type="paragraph" w:customStyle="1" w:styleId="132">
    <w:name w:val="附录二级无标题条"/>
    <w:basedOn w:val="1"/>
    <w:next w:val="60"/>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3">
    <w:name w:val="附录三级无标题条"/>
    <w:basedOn w:val="132"/>
    <w:next w:val="60"/>
    <w:qFormat/>
    <w:uiPriority w:val="0"/>
    <w:pPr>
      <w:outlineLvl w:val="4"/>
    </w:pPr>
  </w:style>
  <w:style w:type="paragraph" w:customStyle="1" w:styleId="134">
    <w:name w:val="附录四级无标题条"/>
    <w:basedOn w:val="133"/>
    <w:next w:val="60"/>
    <w:qFormat/>
    <w:uiPriority w:val="0"/>
    <w:pPr>
      <w:outlineLvl w:val="5"/>
    </w:pPr>
  </w:style>
  <w:style w:type="paragraph" w:customStyle="1" w:styleId="135">
    <w:name w:val="附录图"/>
    <w:next w:val="60"/>
    <w:qFormat/>
    <w:uiPriority w:val="0"/>
    <w:pPr>
      <w:wordWrap w:val="0"/>
      <w:overflowPunct w:val="0"/>
      <w:autoSpaceDE w:val="0"/>
      <w:spacing w:beforeLines="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6">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7">
    <w:name w:val="附录五级无标题条"/>
    <w:basedOn w:val="134"/>
    <w:next w:val="60"/>
    <w:qFormat/>
    <w:uiPriority w:val="0"/>
    <w:pPr>
      <w:outlineLvl w:val="6"/>
    </w:pPr>
  </w:style>
  <w:style w:type="paragraph" w:customStyle="1" w:styleId="138">
    <w:name w:val="附录性质"/>
    <w:basedOn w:val="1"/>
    <w:qFormat/>
    <w:uiPriority w:val="0"/>
    <w:pPr>
      <w:widowControl/>
      <w:adjustRightInd/>
      <w:jc w:val="center"/>
    </w:pPr>
    <w:rPr>
      <w:rFonts w:ascii="黑体" w:eastAsia="黑体"/>
    </w:rPr>
  </w:style>
  <w:style w:type="paragraph" w:customStyle="1" w:styleId="139">
    <w:name w:val="附录一级无标题条"/>
    <w:basedOn w:val="91"/>
    <w:next w:val="60"/>
    <w:qFormat/>
    <w:uiPriority w:val="0"/>
    <w:pPr>
      <w:autoSpaceDN w:val="0"/>
      <w:outlineLvl w:val="2"/>
    </w:pPr>
    <w:rPr>
      <w:rFonts w:ascii="宋体" w:hAnsi="宋体" w:eastAsia="宋体"/>
    </w:rPr>
  </w:style>
  <w:style w:type="character" w:customStyle="1" w:styleId="140">
    <w:name w:val="个人答复风格"/>
    <w:qFormat/>
    <w:uiPriority w:val="0"/>
    <w:rPr>
      <w:rFonts w:ascii="Arial" w:hAnsi="Arial" w:eastAsia="宋体" w:cs="Arial"/>
      <w:color w:val="auto"/>
      <w:spacing w:val="0"/>
      <w:sz w:val="20"/>
    </w:rPr>
  </w:style>
  <w:style w:type="character" w:customStyle="1" w:styleId="141">
    <w:name w:val="个人撰写风格"/>
    <w:qFormat/>
    <w:uiPriority w:val="0"/>
    <w:rPr>
      <w:rFonts w:ascii="Arial" w:hAnsi="Arial" w:eastAsia="宋体" w:cs="Arial"/>
      <w:color w:val="auto"/>
      <w:spacing w:val="0"/>
      <w:sz w:val="20"/>
    </w:rPr>
  </w:style>
  <w:style w:type="paragraph" w:customStyle="1" w:styleId="142">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3">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4">
    <w:name w:val="列项·"/>
    <w:basedOn w:val="60"/>
    <w:qFormat/>
    <w:uiPriority w:val="0"/>
    <w:pPr>
      <w:tabs>
        <w:tab w:val="left" w:pos="840"/>
      </w:tabs>
    </w:pPr>
  </w:style>
  <w:style w:type="paragraph" w:customStyle="1" w:styleId="145">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6">
    <w:name w:val="目录 21"/>
    <w:basedOn w:val="1"/>
    <w:next w:val="1"/>
    <w:autoRedefine/>
    <w:semiHidden/>
    <w:qFormat/>
    <w:uiPriority w:val="0"/>
    <w:pPr>
      <w:adjustRightInd/>
      <w:spacing w:line="240" w:lineRule="auto"/>
      <w:jc w:val="left"/>
    </w:pPr>
    <w:rPr>
      <w:bCs/>
      <w:iCs/>
    </w:rPr>
  </w:style>
  <w:style w:type="paragraph" w:customStyle="1" w:styleId="147">
    <w:name w:val="目录 31"/>
    <w:basedOn w:val="1"/>
    <w:next w:val="1"/>
    <w:autoRedefine/>
    <w:semiHidden/>
    <w:qFormat/>
    <w:uiPriority w:val="0"/>
    <w:pPr>
      <w:spacing w:line="240" w:lineRule="auto"/>
    </w:pPr>
    <w:rPr>
      <w:rFonts w:ascii="宋体" w:hAnsi="宋体"/>
      <w:iCs/>
    </w:rPr>
  </w:style>
  <w:style w:type="paragraph" w:customStyle="1" w:styleId="148">
    <w:name w:val="目录 41"/>
    <w:basedOn w:val="1"/>
    <w:next w:val="1"/>
    <w:autoRedefine/>
    <w:semiHidden/>
    <w:qFormat/>
    <w:uiPriority w:val="0"/>
    <w:pPr>
      <w:adjustRightInd/>
      <w:spacing w:line="240" w:lineRule="auto"/>
      <w:jc w:val="left"/>
    </w:pPr>
  </w:style>
  <w:style w:type="paragraph" w:customStyle="1" w:styleId="149">
    <w:name w:val="目录 51"/>
    <w:basedOn w:val="1"/>
    <w:next w:val="1"/>
    <w:autoRedefine/>
    <w:semiHidden/>
    <w:qFormat/>
    <w:uiPriority w:val="0"/>
    <w:pPr>
      <w:spacing w:line="240" w:lineRule="auto"/>
    </w:pPr>
    <w:rPr>
      <w:rFonts w:ascii="宋体" w:hAnsi="宋体"/>
    </w:rPr>
  </w:style>
  <w:style w:type="paragraph" w:customStyle="1" w:styleId="150">
    <w:name w:val="目录 61"/>
    <w:basedOn w:val="1"/>
    <w:next w:val="1"/>
    <w:autoRedefine/>
    <w:semiHidden/>
    <w:qFormat/>
    <w:uiPriority w:val="0"/>
    <w:pPr>
      <w:adjustRightInd/>
      <w:spacing w:line="240" w:lineRule="auto"/>
      <w:jc w:val="left"/>
    </w:pPr>
  </w:style>
  <w:style w:type="paragraph" w:customStyle="1" w:styleId="151">
    <w:name w:val="目录 71"/>
    <w:basedOn w:val="150"/>
    <w:autoRedefine/>
    <w:semiHidden/>
    <w:qFormat/>
    <w:uiPriority w:val="0"/>
    <w:pPr>
      <w:ind w:left="1260"/>
    </w:pPr>
  </w:style>
  <w:style w:type="paragraph" w:customStyle="1" w:styleId="152">
    <w:name w:val="目录 81"/>
    <w:basedOn w:val="151"/>
    <w:autoRedefine/>
    <w:semiHidden/>
    <w:qFormat/>
    <w:uiPriority w:val="0"/>
    <w:pPr>
      <w:ind w:left="1470"/>
    </w:pPr>
  </w:style>
  <w:style w:type="paragraph" w:customStyle="1" w:styleId="153">
    <w:name w:val="目录 91"/>
    <w:basedOn w:val="152"/>
    <w:autoRedefine/>
    <w:semiHidden/>
    <w:qFormat/>
    <w:uiPriority w:val="0"/>
    <w:pPr>
      <w:ind w:left="1680"/>
    </w:pPr>
  </w:style>
  <w:style w:type="paragraph" w:customStyle="1" w:styleId="15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5">
    <w:name w:val="其他发布部门"/>
    <w:basedOn w:val="123"/>
    <w:qFormat/>
    <w:uiPriority w:val="0"/>
    <w:pPr>
      <w:framePr w:wrap="around"/>
      <w:spacing w:line="0" w:lineRule="atLeast"/>
    </w:pPr>
    <w:rPr>
      <w:rFonts w:ascii="黑体" w:eastAsia="黑体"/>
      <w:b w:val="0"/>
    </w:rPr>
  </w:style>
  <w:style w:type="paragraph" w:customStyle="1" w:styleId="156">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7">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8">
    <w:name w:val="实施日期"/>
    <w:basedOn w:val="124"/>
    <w:qFormat/>
    <w:uiPriority w:val="0"/>
    <w:pPr>
      <w:framePr w:hSpace="0" w:wrap="around" w:xAlign="right"/>
      <w:jc w:val="right"/>
    </w:pPr>
  </w:style>
  <w:style w:type="paragraph" w:customStyle="1" w:styleId="159">
    <w:name w:val="四级无标题条"/>
    <w:basedOn w:val="1"/>
    <w:qFormat/>
    <w:uiPriority w:val="0"/>
    <w:pPr>
      <w:numPr>
        <w:ilvl w:val="5"/>
        <w:numId w:val="20"/>
      </w:numPr>
      <w:adjustRightInd/>
      <w:spacing w:line="240" w:lineRule="auto"/>
    </w:pPr>
    <w:rPr>
      <w:rFonts w:ascii="宋体" w:hAnsi="宋体"/>
      <w:szCs w:val="24"/>
    </w:rPr>
  </w:style>
  <w:style w:type="paragraph" w:customStyle="1" w:styleId="160">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61">
    <w:name w:val="无标题条"/>
    <w:next w:val="60"/>
    <w:qFormat/>
    <w:uiPriority w:val="0"/>
    <w:pPr>
      <w:jc w:val="both"/>
    </w:pPr>
    <w:rPr>
      <w:rFonts w:ascii="宋体" w:hAnsi="宋体" w:eastAsia="宋体" w:cs="Times New Roman"/>
      <w:sz w:val="21"/>
      <w:lang w:val="en-US" w:eastAsia="zh-CN" w:bidi="ar-SA"/>
    </w:rPr>
  </w:style>
  <w:style w:type="paragraph" w:customStyle="1" w:styleId="162">
    <w:name w:val="五级无标题条"/>
    <w:basedOn w:val="1"/>
    <w:qFormat/>
    <w:uiPriority w:val="0"/>
    <w:pPr>
      <w:numPr>
        <w:ilvl w:val="6"/>
        <w:numId w:val="20"/>
      </w:numPr>
      <w:adjustRightInd/>
    </w:pPr>
    <w:rPr>
      <w:szCs w:val="24"/>
    </w:rPr>
  </w:style>
  <w:style w:type="paragraph" w:customStyle="1" w:styleId="163">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4">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5">
    <w:name w:val="注×:后续"/>
    <w:basedOn w:val="164"/>
    <w:qFormat/>
    <w:uiPriority w:val="0"/>
    <w:pPr>
      <w:ind w:left="1406" w:leftChars="0" w:hanging="499" w:firstLineChars="0"/>
    </w:pPr>
  </w:style>
  <w:style w:type="paragraph" w:customStyle="1" w:styleId="166">
    <w:name w:val="标准文件_一级无标题"/>
    <w:basedOn w:val="109"/>
    <w:qFormat/>
    <w:uiPriority w:val="0"/>
    <w:pPr>
      <w:numPr>
        <w:ilvl w:val="0"/>
        <w:numId w:val="0"/>
      </w:numPr>
      <w:spacing w:beforeLines="0" w:afterLines="0"/>
      <w:outlineLvl w:val="9"/>
    </w:pPr>
    <w:rPr>
      <w:rFonts w:ascii="宋体" w:eastAsia="宋体"/>
    </w:rPr>
  </w:style>
  <w:style w:type="paragraph" w:customStyle="1" w:styleId="167">
    <w:name w:val="标准文件_五级无标题"/>
    <w:basedOn w:val="107"/>
    <w:qFormat/>
    <w:uiPriority w:val="0"/>
    <w:pPr>
      <w:spacing w:beforeLines="0" w:afterLines="0"/>
      <w:outlineLvl w:val="9"/>
    </w:pPr>
    <w:rPr>
      <w:rFonts w:ascii="宋体" w:eastAsia="宋体"/>
    </w:rPr>
  </w:style>
  <w:style w:type="paragraph" w:customStyle="1" w:styleId="168">
    <w:name w:val="标准文件_三级无标题"/>
    <w:basedOn w:val="98"/>
    <w:qFormat/>
    <w:uiPriority w:val="0"/>
    <w:pPr>
      <w:spacing w:beforeLines="0" w:afterLines="0"/>
      <w:outlineLvl w:val="9"/>
    </w:pPr>
    <w:rPr>
      <w:rFonts w:ascii="宋体" w:eastAsia="宋体"/>
    </w:rPr>
  </w:style>
  <w:style w:type="paragraph" w:customStyle="1" w:styleId="169">
    <w:name w:val="标准文件_二级无标题"/>
    <w:basedOn w:val="69"/>
    <w:qFormat/>
    <w:uiPriority w:val="0"/>
    <w:pPr>
      <w:spacing w:beforeLines="0" w:afterLines="0"/>
      <w:outlineLvl w:val="9"/>
    </w:pPr>
    <w:rPr>
      <w:rFonts w:ascii="宋体" w:eastAsia="宋体"/>
    </w:rPr>
  </w:style>
  <w:style w:type="paragraph" w:customStyle="1" w:styleId="170">
    <w:name w:val="标准_四级无标题"/>
    <w:basedOn w:val="102"/>
    <w:next w:val="60"/>
    <w:qFormat/>
    <w:uiPriority w:val="0"/>
    <w:rPr>
      <w:rFonts w:eastAsia="宋体"/>
    </w:rPr>
  </w:style>
  <w:style w:type="paragraph" w:customStyle="1" w:styleId="171">
    <w:name w:val="标准文件_四级无标题"/>
    <w:basedOn w:val="102"/>
    <w:qFormat/>
    <w:uiPriority w:val="0"/>
    <w:pPr>
      <w:spacing w:beforeLines="0" w:afterLines="0"/>
      <w:outlineLvl w:val="9"/>
    </w:pPr>
    <w:rPr>
      <w:rFonts w:ascii="宋体" w:hAnsi="黑体" w:eastAsia="宋体"/>
      <w:szCs w:val="52"/>
    </w:rPr>
  </w:style>
  <w:style w:type="paragraph" w:customStyle="1" w:styleId="172">
    <w:name w:val="标准文件_大写罗马数字编号列项"/>
    <w:basedOn w:val="60"/>
    <w:qFormat/>
    <w:uiPriority w:val="0"/>
    <w:pPr>
      <w:numPr>
        <w:ilvl w:val="0"/>
        <w:numId w:val="23"/>
      </w:numPr>
      <w:ind w:firstLine="0" w:firstLineChars="0"/>
    </w:pPr>
    <w:rPr>
      <w:rFonts w:cs="Arial"/>
      <w:szCs w:val="28"/>
    </w:rPr>
  </w:style>
  <w:style w:type="paragraph" w:customStyle="1" w:styleId="173">
    <w:name w:val="标准文件_小写罗马数字编号列项"/>
    <w:basedOn w:val="60"/>
    <w:qFormat/>
    <w:uiPriority w:val="0"/>
    <w:pPr>
      <w:numPr>
        <w:ilvl w:val="0"/>
        <w:numId w:val="24"/>
      </w:numPr>
      <w:ind w:firstLine="0" w:firstLineChars="0"/>
    </w:pPr>
    <w:rPr>
      <w:rFonts w:cs="Arial"/>
      <w:szCs w:val="28"/>
    </w:rPr>
  </w:style>
  <w:style w:type="paragraph" w:customStyle="1" w:styleId="174">
    <w:name w:val="标准文件_附录标题"/>
    <w:basedOn w:val="80"/>
    <w:qFormat/>
    <w:uiPriority w:val="0"/>
    <w:pPr>
      <w:numPr>
        <w:numId w:val="0"/>
      </w:numPr>
      <w:spacing w:after="280"/>
      <w:outlineLvl w:val="9"/>
    </w:pPr>
  </w:style>
  <w:style w:type="paragraph" w:customStyle="1" w:styleId="175">
    <w:name w:val="标准文件_二级项"/>
    <w:qFormat/>
    <w:uiPriority w:val="0"/>
    <w:rPr>
      <w:rFonts w:ascii="宋体" w:hAnsi="Times New Roman" w:eastAsia="宋体" w:cs="Times New Roman"/>
      <w:sz w:val="21"/>
      <w:lang w:val="en-US" w:eastAsia="zh-CN" w:bidi="ar-SA"/>
    </w:rPr>
  </w:style>
  <w:style w:type="paragraph" w:customStyle="1" w:styleId="176">
    <w:name w:val="标准文件_三级项"/>
    <w:basedOn w:val="1"/>
    <w:qFormat/>
    <w:uiPriority w:val="0"/>
    <w:pPr>
      <w:numPr>
        <w:ilvl w:val="2"/>
        <w:numId w:val="21"/>
      </w:numPr>
      <w:spacing w:line="536870612" w:lineRule="auto"/>
    </w:pPr>
    <w:rPr>
      <w:rFonts w:ascii="Times New Roman" w:hAnsi="Times New Roman"/>
    </w:rPr>
  </w:style>
  <w:style w:type="paragraph" w:customStyle="1" w:styleId="177">
    <w:name w:val="图表脚注说明"/>
    <w:basedOn w:val="1"/>
    <w:next w:val="60"/>
    <w:qFormat/>
    <w:uiPriority w:val="0"/>
    <w:pPr>
      <w:numPr>
        <w:ilvl w:val="0"/>
        <w:numId w:val="25"/>
      </w:numPr>
      <w:adjustRightInd/>
      <w:spacing w:line="240" w:lineRule="auto"/>
    </w:pPr>
    <w:rPr>
      <w:rFonts w:ascii="宋体" w:hAnsi="Times New Roman"/>
      <w:sz w:val="18"/>
      <w:szCs w:val="18"/>
    </w:rPr>
  </w:style>
  <w:style w:type="paragraph" w:customStyle="1" w:styleId="178">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9">
    <w:name w:val="标准文件_索引字母"/>
    <w:next w:val="60"/>
    <w:qFormat/>
    <w:uiPriority w:val="0"/>
    <w:pPr>
      <w:jc w:val="center"/>
    </w:pPr>
    <w:rPr>
      <w:rFonts w:ascii="宋体" w:hAnsi="宋体" w:eastAsia="Times New Roman" w:cs="Times New Roman"/>
      <w:b/>
      <w:kern w:val="2"/>
      <w:sz w:val="21"/>
      <w:lang w:val="en-US" w:eastAsia="zh-CN" w:bidi="ar-SA"/>
    </w:rPr>
  </w:style>
  <w:style w:type="paragraph" w:customStyle="1" w:styleId="180">
    <w:name w:val="标准文件_附录前"/>
    <w:next w:val="60"/>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81">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82">
    <w:name w:val="标准文件_表格"/>
    <w:basedOn w:val="60"/>
    <w:qFormat/>
    <w:uiPriority w:val="0"/>
    <w:pPr>
      <w:ind w:firstLine="0" w:firstLineChars="0"/>
      <w:jc w:val="center"/>
    </w:pPr>
    <w:rPr>
      <w:sz w:val="18"/>
    </w:rPr>
  </w:style>
  <w:style w:type="paragraph" w:customStyle="1" w:styleId="183">
    <w:name w:val="标准文件_注："/>
    <w:next w:val="60"/>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4">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5">
    <w:name w:val="标准文件_示例："/>
    <w:next w:val="186"/>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6">
    <w:name w:val="标准文件_示例内容"/>
    <w:basedOn w:val="60"/>
    <w:qFormat/>
    <w:uiPriority w:val="0"/>
    <w:pPr>
      <w:ind w:firstLine="420"/>
    </w:pPr>
    <w:rPr>
      <w:sz w:val="18"/>
    </w:rPr>
  </w:style>
  <w:style w:type="paragraph" w:customStyle="1" w:styleId="187">
    <w:name w:val="标准文件_示例×："/>
    <w:basedOn w:val="1"/>
    <w:next w:val="186"/>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8">
    <w:name w:val="标准文件_段 Char"/>
    <w:link w:val="60"/>
    <w:qFormat/>
    <w:uiPriority w:val="0"/>
    <w:rPr>
      <w:rFonts w:ascii="Times New Roman" w:hAnsi="Times New Roman"/>
      <w:sz w:val="21"/>
    </w:rPr>
  </w:style>
  <w:style w:type="paragraph" w:customStyle="1" w:styleId="189">
    <w:name w:val="标准文件_表格续"/>
    <w:basedOn w:val="60"/>
    <w:next w:val="60"/>
    <w:qFormat/>
    <w:uiPriority w:val="0"/>
    <w:pPr>
      <w:jc w:val="center"/>
    </w:pPr>
    <w:rPr>
      <w:rFonts w:ascii="黑体" w:hAnsi="黑体" w:eastAsia="黑体"/>
    </w:rPr>
  </w:style>
  <w:style w:type="character" w:styleId="190">
    <w:name w:val="Placeholder Text"/>
    <w:basedOn w:val="31"/>
    <w:semiHidden/>
    <w:qFormat/>
    <w:uiPriority w:val="99"/>
    <w:rPr>
      <w:color w:val="808080"/>
    </w:rPr>
  </w:style>
  <w:style w:type="paragraph" w:customStyle="1" w:styleId="191">
    <w:name w:val="标准文件_二级项2"/>
    <w:basedOn w:val="60"/>
    <w:qFormat/>
    <w:uiPriority w:val="0"/>
    <w:pPr>
      <w:numPr>
        <w:ilvl w:val="1"/>
        <w:numId w:val="21"/>
      </w:numPr>
      <w:ind w:firstLine="0" w:firstLineChars="0"/>
    </w:pPr>
  </w:style>
  <w:style w:type="paragraph" w:customStyle="1" w:styleId="192">
    <w:name w:val="标准文件_三级项2"/>
    <w:basedOn w:val="60"/>
    <w:qFormat/>
    <w:uiPriority w:val="0"/>
    <w:pPr>
      <w:numPr>
        <w:ilvl w:val="0"/>
        <w:numId w:val="30"/>
      </w:numPr>
      <w:spacing w:line="300" w:lineRule="exact"/>
      <w:ind w:firstLineChars="0"/>
    </w:pPr>
  </w:style>
  <w:style w:type="paragraph" w:customStyle="1" w:styleId="193">
    <w:name w:val="标准文件_一级项2"/>
    <w:basedOn w:val="60"/>
    <w:qFormat/>
    <w:uiPriority w:val="0"/>
    <w:pPr>
      <w:numPr>
        <w:ilvl w:val="0"/>
        <w:numId w:val="31"/>
      </w:numPr>
      <w:spacing w:line="300" w:lineRule="exact"/>
      <w:ind w:firstLineChars="0"/>
    </w:pPr>
  </w:style>
  <w:style w:type="paragraph" w:customStyle="1" w:styleId="194">
    <w:name w:val="标准文件_提示"/>
    <w:basedOn w:val="60"/>
    <w:next w:val="60"/>
    <w:qFormat/>
    <w:uiPriority w:val="0"/>
    <w:pPr>
      <w:ind w:firstLine="420"/>
    </w:pPr>
    <w:rPr>
      <w:rFonts w:ascii="黑体" w:eastAsia="黑体"/>
    </w:rPr>
  </w:style>
  <w:style w:type="character" w:customStyle="1" w:styleId="195">
    <w:name w:val="标准文件_来源"/>
    <w:basedOn w:val="31"/>
    <w:qFormat/>
    <w:uiPriority w:val="1"/>
    <w:rPr>
      <w:rFonts w:eastAsia="宋体"/>
      <w:sz w:val="21"/>
    </w:rPr>
  </w:style>
  <w:style w:type="paragraph" w:customStyle="1" w:styleId="196">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7">
    <w:name w:val="其他发布日期"/>
    <w:basedOn w:val="124"/>
    <w:qFormat/>
    <w:uiPriority w:val="0"/>
    <w:pPr>
      <w:framePr w:w="3997" w:h="471" w:hRule="exact" w:hSpace="0" w:vSpace="181" w:wrap="around" w:vAnchor="page" w:hAnchor="page" w:x="1419" w:y="14097"/>
    </w:pPr>
  </w:style>
  <w:style w:type="paragraph" w:customStyle="1" w:styleId="198">
    <w:name w:val="其他实施日期"/>
    <w:basedOn w:val="158"/>
    <w:qFormat/>
    <w:uiPriority w:val="0"/>
    <w:pPr>
      <w:framePr w:w="3997" w:h="471" w:hRule="exact" w:vSpace="181" w:wrap="around" w:vAnchor="page" w:hAnchor="page" w:x="7089" w:y="14097"/>
    </w:pPr>
  </w:style>
  <w:style w:type="paragraph" w:customStyle="1" w:styleId="199">
    <w:name w:val="标准文件_文件编号"/>
    <w:basedOn w:val="60"/>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200">
    <w:name w:val="标准文件_替换文件编号"/>
    <w:basedOn w:val="199"/>
    <w:qFormat/>
    <w:uiPriority w:val="0"/>
    <w:pPr>
      <w:framePr/>
      <w:spacing w:before="57"/>
    </w:pPr>
    <w:rPr>
      <w:sz w:val="21"/>
    </w:rPr>
  </w:style>
  <w:style w:type="paragraph" w:customStyle="1" w:styleId="201">
    <w:name w:val="标准文件_文件名称"/>
    <w:basedOn w:val="60"/>
    <w:next w:val="60"/>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02">
    <w:name w:val="标准文件_附录图标号"/>
    <w:basedOn w:val="60"/>
    <w:next w:val="60"/>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3">
    <w:name w:val="标准文件_附录表标号"/>
    <w:basedOn w:val="60"/>
    <w:next w:val="60"/>
    <w:qFormat/>
    <w:uiPriority w:val="0"/>
    <w:pPr>
      <w:numPr>
        <w:ilvl w:val="0"/>
        <w:numId w:val="5"/>
      </w:numPr>
      <w:spacing w:line="14" w:lineRule="exact"/>
      <w:ind w:firstLine="0" w:firstLineChars="0"/>
      <w:jc w:val="center"/>
    </w:pPr>
    <w:rPr>
      <w:rFonts w:eastAsia="黑体"/>
      <w:vanish/>
      <w:sz w:val="2"/>
    </w:rPr>
  </w:style>
  <w:style w:type="paragraph" w:customStyle="1" w:styleId="204">
    <w:name w:val="标准文件_引言一级条标题"/>
    <w:basedOn w:val="60"/>
    <w:next w:val="60"/>
    <w:qFormat/>
    <w:uiPriority w:val="0"/>
    <w:pPr>
      <w:numPr>
        <w:ilvl w:val="1"/>
        <w:numId w:val="8"/>
      </w:numPr>
      <w:spacing w:beforeLines="50" w:afterLines="50"/>
      <w:ind w:firstLineChars="0"/>
    </w:pPr>
    <w:rPr>
      <w:rFonts w:ascii="黑体" w:eastAsia="黑体"/>
    </w:rPr>
  </w:style>
  <w:style w:type="paragraph" w:customStyle="1" w:styleId="205">
    <w:name w:val="标准文件_引言二级条标题"/>
    <w:basedOn w:val="60"/>
    <w:next w:val="60"/>
    <w:qFormat/>
    <w:uiPriority w:val="0"/>
    <w:pPr>
      <w:numPr>
        <w:ilvl w:val="2"/>
        <w:numId w:val="8"/>
      </w:numPr>
      <w:spacing w:beforeLines="50" w:afterLines="50"/>
      <w:ind w:firstLineChars="0"/>
    </w:pPr>
    <w:rPr>
      <w:rFonts w:ascii="黑体" w:eastAsia="黑体"/>
    </w:rPr>
  </w:style>
  <w:style w:type="paragraph" w:customStyle="1" w:styleId="206">
    <w:name w:val="标准文件_引言三级条标题"/>
    <w:basedOn w:val="60"/>
    <w:next w:val="60"/>
    <w:qFormat/>
    <w:uiPriority w:val="0"/>
    <w:pPr>
      <w:numPr>
        <w:ilvl w:val="3"/>
        <w:numId w:val="8"/>
      </w:numPr>
      <w:spacing w:beforeLines="50" w:afterLines="50"/>
      <w:ind w:firstLineChars="0"/>
    </w:pPr>
    <w:rPr>
      <w:rFonts w:ascii="黑体" w:eastAsia="黑体"/>
    </w:rPr>
  </w:style>
  <w:style w:type="paragraph" w:customStyle="1" w:styleId="207">
    <w:name w:val="标准文件_引言四级条标题"/>
    <w:basedOn w:val="60"/>
    <w:next w:val="60"/>
    <w:qFormat/>
    <w:uiPriority w:val="0"/>
    <w:pPr>
      <w:numPr>
        <w:ilvl w:val="4"/>
        <w:numId w:val="8"/>
      </w:numPr>
      <w:spacing w:beforeLines="50" w:afterLines="50"/>
      <w:ind w:firstLineChars="0"/>
    </w:pPr>
    <w:rPr>
      <w:rFonts w:ascii="黑体" w:eastAsia="黑体"/>
    </w:rPr>
  </w:style>
  <w:style w:type="paragraph" w:customStyle="1" w:styleId="208">
    <w:name w:val="标准文件_引言五级条标题"/>
    <w:basedOn w:val="60"/>
    <w:next w:val="60"/>
    <w:qFormat/>
    <w:uiPriority w:val="0"/>
    <w:pPr>
      <w:numPr>
        <w:ilvl w:val="5"/>
        <w:numId w:val="8"/>
      </w:numPr>
      <w:spacing w:beforeLines="50" w:afterLines="50"/>
      <w:ind w:firstLineChars="0"/>
    </w:pPr>
    <w:rPr>
      <w:rFonts w:ascii="黑体" w:eastAsia="黑体"/>
    </w:rPr>
  </w:style>
  <w:style w:type="paragraph" w:customStyle="1" w:styleId="209">
    <w:name w:val="标准文件_注后"/>
    <w:basedOn w:val="60"/>
    <w:qFormat/>
    <w:uiPriority w:val="0"/>
    <w:pPr>
      <w:ind w:left="811" w:firstLine="0" w:firstLineChars="0"/>
    </w:pPr>
    <w:rPr>
      <w:sz w:val="18"/>
    </w:rPr>
  </w:style>
  <w:style w:type="paragraph" w:customStyle="1" w:styleId="210">
    <w:name w:val="标准文件_注X后"/>
    <w:basedOn w:val="60"/>
    <w:qFormat/>
    <w:uiPriority w:val="0"/>
    <w:pPr>
      <w:ind w:left="811" w:firstLine="0" w:firstLineChars="0"/>
    </w:pPr>
    <w:rPr>
      <w:sz w:val="18"/>
    </w:rPr>
  </w:style>
  <w:style w:type="paragraph" w:customStyle="1" w:styleId="211">
    <w:name w:val="标准文件_示例后"/>
    <w:basedOn w:val="60"/>
    <w:qFormat/>
    <w:uiPriority w:val="0"/>
    <w:pPr>
      <w:ind w:left="964" w:firstLine="0" w:firstLineChars="0"/>
    </w:pPr>
    <w:rPr>
      <w:sz w:val="18"/>
    </w:rPr>
  </w:style>
  <w:style w:type="paragraph" w:customStyle="1" w:styleId="212">
    <w:name w:val="标准文件_示例X后"/>
    <w:basedOn w:val="60"/>
    <w:link w:val="213"/>
    <w:qFormat/>
    <w:uiPriority w:val="0"/>
    <w:pPr>
      <w:ind w:left="1049" w:firstLine="0" w:firstLineChars="0"/>
    </w:pPr>
    <w:rPr>
      <w:sz w:val="18"/>
    </w:rPr>
  </w:style>
  <w:style w:type="character" w:customStyle="1" w:styleId="213">
    <w:name w:val="标准文件_示例X后 字符"/>
    <w:basedOn w:val="188"/>
    <w:link w:val="212"/>
    <w:qFormat/>
    <w:uiPriority w:val="0"/>
    <w:rPr>
      <w:rFonts w:ascii="宋体" w:hAnsi="Times New Roman"/>
      <w:sz w:val="18"/>
    </w:rPr>
  </w:style>
  <w:style w:type="paragraph" w:customStyle="1" w:styleId="214">
    <w:name w:val="标准文件_索引项"/>
    <w:basedOn w:val="60"/>
    <w:next w:val="60"/>
    <w:qFormat/>
    <w:uiPriority w:val="0"/>
    <w:pPr>
      <w:tabs>
        <w:tab w:val="right" w:leader="dot" w:pos="9356"/>
      </w:tabs>
      <w:ind w:left="210" w:hanging="210" w:firstLineChars="0"/>
      <w:jc w:val="left"/>
    </w:pPr>
  </w:style>
  <w:style w:type="paragraph" w:customStyle="1" w:styleId="215">
    <w:name w:val="标准文件_附录一级无标题"/>
    <w:basedOn w:val="82"/>
    <w:qFormat/>
    <w:uiPriority w:val="0"/>
    <w:pPr>
      <w:spacing w:beforeLines="0" w:afterLines="0" w:line="276" w:lineRule="auto"/>
      <w:outlineLvl w:val="9"/>
    </w:pPr>
    <w:rPr>
      <w:rFonts w:ascii="宋体" w:eastAsia="宋体"/>
    </w:rPr>
  </w:style>
  <w:style w:type="paragraph" w:customStyle="1" w:styleId="216">
    <w:name w:val="标准文件_附录二级无标题"/>
    <w:basedOn w:val="83"/>
    <w:qFormat/>
    <w:uiPriority w:val="0"/>
    <w:pPr>
      <w:spacing w:beforeLines="0" w:afterLines="0" w:line="276" w:lineRule="auto"/>
      <w:outlineLvl w:val="9"/>
    </w:pPr>
    <w:rPr>
      <w:rFonts w:ascii="宋体" w:eastAsia="宋体"/>
    </w:rPr>
  </w:style>
  <w:style w:type="paragraph" w:customStyle="1" w:styleId="217">
    <w:name w:val="标准文件_附录三级无标题"/>
    <w:basedOn w:val="85"/>
    <w:qFormat/>
    <w:uiPriority w:val="0"/>
    <w:pPr>
      <w:spacing w:beforeLines="0" w:afterLines="0" w:line="276" w:lineRule="auto"/>
      <w:outlineLvl w:val="9"/>
    </w:pPr>
    <w:rPr>
      <w:rFonts w:ascii="宋体" w:eastAsia="宋体"/>
    </w:rPr>
  </w:style>
  <w:style w:type="paragraph" w:customStyle="1" w:styleId="218">
    <w:name w:val="标准文件_附录四级无标题"/>
    <w:basedOn w:val="86"/>
    <w:qFormat/>
    <w:uiPriority w:val="0"/>
    <w:pPr>
      <w:spacing w:beforeLines="0" w:afterLines="0" w:line="276" w:lineRule="auto"/>
      <w:outlineLvl w:val="9"/>
    </w:pPr>
    <w:rPr>
      <w:rFonts w:ascii="宋体" w:eastAsia="宋体"/>
    </w:rPr>
  </w:style>
  <w:style w:type="paragraph" w:customStyle="1" w:styleId="219">
    <w:name w:val="标准文件_附录五级无标题"/>
    <w:basedOn w:val="88"/>
    <w:qFormat/>
    <w:uiPriority w:val="0"/>
    <w:pPr>
      <w:spacing w:beforeLines="0" w:afterLines="0" w:line="276" w:lineRule="auto"/>
      <w:outlineLvl w:val="9"/>
    </w:pPr>
    <w:rPr>
      <w:rFonts w:ascii="宋体" w:eastAsia="宋体"/>
    </w:rPr>
  </w:style>
  <w:style w:type="paragraph" w:customStyle="1" w:styleId="220">
    <w:name w:val="标准文件_引言一级无标题"/>
    <w:basedOn w:val="204"/>
    <w:next w:val="60"/>
    <w:qFormat/>
    <w:uiPriority w:val="0"/>
    <w:pPr>
      <w:spacing w:beforeLines="0" w:afterLines="0" w:line="276" w:lineRule="auto"/>
    </w:pPr>
    <w:rPr>
      <w:rFonts w:ascii="宋体" w:eastAsia="宋体"/>
    </w:rPr>
  </w:style>
  <w:style w:type="paragraph" w:customStyle="1" w:styleId="221">
    <w:name w:val="标准文件_引言二级无标题"/>
    <w:basedOn w:val="205"/>
    <w:next w:val="60"/>
    <w:qFormat/>
    <w:uiPriority w:val="0"/>
    <w:pPr>
      <w:spacing w:beforeLines="0" w:afterLines="0" w:line="276" w:lineRule="auto"/>
    </w:pPr>
    <w:rPr>
      <w:rFonts w:ascii="宋体" w:eastAsia="宋体"/>
    </w:rPr>
  </w:style>
  <w:style w:type="paragraph" w:customStyle="1" w:styleId="222">
    <w:name w:val="标准文件_引言三级无标题"/>
    <w:basedOn w:val="206"/>
    <w:qFormat/>
    <w:uiPriority w:val="0"/>
    <w:pPr>
      <w:spacing w:beforeLines="0" w:afterLines="0" w:line="276" w:lineRule="auto"/>
    </w:pPr>
    <w:rPr>
      <w:rFonts w:ascii="宋体" w:eastAsia="宋体"/>
    </w:rPr>
  </w:style>
  <w:style w:type="paragraph" w:customStyle="1" w:styleId="223">
    <w:name w:val="标准文件_引言四级无标题"/>
    <w:basedOn w:val="207"/>
    <w:next w:val="60"/>
    <w:qFormat/>
    <w:uiPriority w:val="0"/>
    <w:pPr>
      <w:spacing w:beforeLines="0" w:afterLines="0" w:line="276" w:lineRule="auto"/>
    </w:pPr>
    <w:rPr>
      <w:rFonts w:ascii="宋体" w:eastAsia="宋体"/>
    </w:rPr>
  </w:style>
  <w:style w:type="paragraph" w:customStyle="1" w:styleId="224">
    <w:name w:val="标准文件_引言五级无标题"/>
    <w:basedOn w:val="208"/>
    <w:next w:val="60"/>
    <w:qFormat/>
    <w:uiPriority w:val="0"/>
    <w:pPr>
      <w:spacing w:beforeLines="0" w:afterLines="0" w:line="276" w:lineRule="auto"/>
    </w:pPr>
    <w:rPr>
      <w:rFonts w:ascii="宋体" w:eastAsia="宋体"/>
    </w:rPr>
  </w:style>
  <w:style w:type="paragraph" w:customStyle="1" w:styleId="225">
    <w:name w:val="标准文件_索引标题"/>
    <w:basedOn w:val="67"/>
    <w:next w:val="60"/>
    <w:qFormat/>
    <w:uiPriority w:val="0"/>
    <w:rPr>
      <w:rFonts w:hAnsi="黑体"/>
    </w:rPr>
  </w:style>
  <w:style w:type="paragraph" w:customStyle="1" w:styleId="226">
    <w:name w:val="标准文件_脚注内容"/>
    <w:basedOn w:val="60"/>
    <w:qFormat/>
    <w:uiPriority w:val="0"/>
    <w:pPr>
      <w:ind w:left="400" w:leftChars="200" w:hanging="200" w:hangingChars="200"/>
    </w:pPr>
    <w:rPr>
      <w:sz w:val="15"/>
    </w:rPr>
  </w:style>
  <w:style w:type="paragraph" w:customStyle="1" w:styleId="227">
    <w:name w:val="标准文件_术语条一"/>
    <w:basedOn w:val="166"/>
    <w:next w:val="60"/>
    <w:qFormat/>
    <w:uiPriority w:val="0"/>
  </w:style>
  <w:style w:type="paragraph" w:customStyle="1" w:styleId="228">
    <w:name w:val="标准文件_术语条二"/>
    <w:basedOn w:val="169"/>
    <w:next w:val="60"/>
    <w:qFormat/>
    <w:uiPriority w:val="0"/>
  </w:style>
  <w:style w:type="paragraph" w:customStyle="1" w:styleId="229">
    <w:name w:val="标准文件_术语条三"/>
    <w:basedOn w:val="168"/>
    <w:next w:val="60"/>
    <w:qFormat/>
    <w:uiPriority w:val="0"/>
  </w:style>
  <w:style w:type="paragraph" w:customStyle="1" w:styleId="230">
    <w:name w:val="标准文件_术语条四"/>
    <w:basedOn w:val="171"/>
    <w:next w:val="60"/>
    <w:qFormat/>
    <w:uiPriority w:val="0"/>
  </w:style>
  <w:style w:type="paragraph" w:customStyle="1" w:styleId="231">
    <w:name w:val="标准文件_术语条五"/>
    <w:basedOn w:val="167"/>
    <w:next w:val="60"/>
    <w:qFormat/>
    <w:uiPriority w:val="0"/>
  </w:style>
  <w:style w:type="paragraph" w:customStyle="1" w:styleId="2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3">
    <w:name w:val="发布"/>
    <w:basedOn w:val="31"/>
    <w:qFormat/>
    <w:uiPriority w:val="0"/>
    <w:rPr>
      <w:rFonts w:ascii="黑体" w:eastAsia="黑体"/>
      <w:spacing w:val="85"/>
      <w:w w:val="100"/>
      <w:position w:val="3"/>
      <w:sz w:val="28"/>
      <w:szCs w:val="28"/>
    </w:rPr>
  </w:style>
  <w:style w:type="paragraph" w:styleId="234">
    <w:name w:val="List Paragraph"/>
    <w:basedOn w:val="1"/>
    <w:qFormat/>
    <w:uiPriority w:val="34"/>
    <w:pPr>
      <w:ind w:firstLine="420" w:firstLineChars="200"/>
    </w:pPr>
  </w:style>
  <w:style w:type="paragraph" w:customStyle="1" w:styleId="235">
    <w:name w:val="ybc-li-component"/>
    <w:basedOn w:val="1"/>
    <w:qFormat/>
    <w:uiPriority w:val="0"/>
    <w:pPr>
      <w:widowControl/>
      <w:adjustRightInd/>
      <w:spacing w:before="100" w:beforeAutospacing="1" w:after="100" w:afterAutospacing="1" w:line="240" w:lineRule="auto"/>
      <w:jc w:val="left"/>
    </w:pPr>
    <w:rPr>
      <w:rFonts w:ascii="宋体" w:hAnsi="宋体" w:cs="宋体"/>
      <w:kern w:val="0"/>
      <w:sz w:val="24"/>
      <w:szCs w:val="24"/>
    </w:rPr>
  </w:style>
  <w:style w:type="character" w:customStyle="1" w:styleId="236">
    <w:name w:val="ybc-li-component_content"/>
    <w:basedOn w:val="31"/>
    <w:qFormat/>
    <w:uiPriority w:val="0"/>
  </w:style>
  <w:style w:type="character" w:customStyle="1" w:styleId="237">
    <w:name w:val="ybc-li-component_dot"/>
    <w:basedOn w:val="31"/>
    <w:qFormat/>
    <w:uiPriority w:val="0"/>
  </w:style>
  <w:style w:type="paragraph" w:customStyle="1" w:styleId="238">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239">
    <w:name w:val="终结线"/>
    <w:basedOn w:val="1"/>
    <w:qFormat/>
    <w:uiPriority w:val="0"/>
    <w:pPr>
      <w:adjustRightInd/>
      <w:spacing w:line="240" w:lineRule="auto"/>
    </w:pPr>
    <w:rPr>
      <w:rFonts w:ascii="Times New Roman" w:hAnsi="Times New Roman"/>
    </w:rPr>
  </w:style>
  <w:style w:type="paragraph" w:customStyle="1" w:styleId="240">
    <w:name w:val="修订1"/>
    <w:hidden/>
    <w:unhideWhenUsed/>
    <w:qFormat/>
    <w:uiPriority w:val="99"/>
    <w:rPr>
      <w:rFonts w:ascii="Calibri" w:hAnsi="Calibri" w:eastAsia="宋体" w:cs="Times New Roman"/>
      <w:kern w:val="2"/>
      <w:sz w:val="21"/>
      <w:szCs w:val="21"/>
      <w:lang w:val="en-US" w:eastAsia="zh-CN" w:bidi="ar-SA"/>
    </w:rPr>
  </w:style>
  <w:style w:type="paragraph" w:customStyle="1" w:styleId="241">
    <w:name w:val="修订2"/>
    <w:hidden/>
    <w:unhideWhenUsed/>
    <w:qFormat/>
    <w:uiPriority w:val="99"/>
    <w:rPr>
      <w:rFonts w:ascii="Calibri" w:hAnsi="Calibri" w:eastAsia="宋体" w:cs="Times New Roman"/>
      <w:kern w:val="2"/>
      <w:sz w:val="21"/>
      <w:szCs w:val="21"/>
      <w:lang w:val="en-US" w:eastAsia="zh-CN" w:bidi="ar-SA"/>
    </w:rPr>
  </w:style>
  <w:style w:type="character" w:customStyle="1" w:styleId="242">
    <w:name w:val="批注文字 字符"/>
    <w:basedOn w:val="31"/>
    <w:link w:val="13"/>
    <w:semiHidden/>
    <w:qFormat/>
    <w:uiPriority w:val="99"/>
    <w:rPr>
      <w:rFonts w:ascii="Calibri" w:hAnsi="Calibri"/>
      <w:kern w:val="2"/>
      <w:sz w:val="21"/>
      <w:szCs w:val="21"/>
    </w:rPr>
  </w:style>
  <w:style w:type="character" w:customStyle="1" w:styleId="243">
    <w:name w:val="批注主题 字符"/>
    <w:basedOn w:val="242"/>
    <w:link w:val="28"/>
    <w:semiHidden/>
    <w:qFormat/>
    <w:uiPriority w:val="99"/>
    <w:rPr>
      <w:rFonts w:ascii="Calibri" w:hAnsi="Calibri"/>
      <w:b/>
      <w:bCs/>
      <w:kern w:val="2"/>
      <w:sz w:val="21"/>
      <w:szCs w:val="21"/>
    </w:rPr>
  </w:style>
  <w:style w:type="paragraph" w:customStyle="1" w:styleId="244">
    <w:name w:val="修订3"/>
    <w:hidden/>
    <w:semiHidden/>
    <w:qFormat/>
    <w:uiPriority w:val="99"/>
    <w:rPr>
      <w:rFonts w:ascii="Calibri" w:hAnsi="Calibri" w:eastAsia="宋体" w:cs="Times New Roman"/>
      <w:kern w:val="2"/>
      <w:sz w:val="21"/>
      <w:szCs w:val="21"/>
      <w:lang w:val="en-US" w:eastAsia="zh-CN" w:bidi="ar-SA"/>
    </w:rPr>
  </w:style>
  <w:style w:type="paragraph" w:customStyle="1" w:styleId="245">
    <w:name w:val="修订4"/>
    <w:hidden/>
    <w:semiHidden/>
    <w:qFormat/>
    <w:uiPriority w:val="99"/>
    <w:rPr>
      <w:rFonts w:ascii="Calibri" w:hAnsi="Calibri" w:eastAsia="宋体" w:cs="Times New Roman"/>
      <w:kern w:val="2"/>
      <w:sz w:val="21"/>
      <w:szCs w:val="21"/>
      <w:lang w:val="en-US" w:eastAsia="zh-CN" w:bidi="ar-SA"/>
    </w:rPr>
  </w:style>
  <w:style w:type="paragraph" w:customStyle="1" w:styleId="246">
    <w:name w:val="2"/>
    <w:qFormat/>
    <w:uiPriority w:val="0"/>
    <w:pPr>
      <w:spacing w:before="120" w:after="120" w:line="288" w:lineRule="auto"/>
    </w:pPr>
    <w:rPr>
      <w:rFonts w:ascii="Arial" w:hAnsi="Arial" w:eastAsia="等线" w:cs="Arial"/>
      <w:sz w:val="22"/>
      <w:szCs w:val="22"/>
      <w:lang w:val="en-US" w:eastAsia="zh-CN" w:bidi="ar-SA"/>
    </w:rPr>
  </w:style>
  <w:style w:type="paragraph" w:customStyle="1" w:styleId="247">
    <w:name w:val="1"/>
    <w:qFormat/>
    <w:uiPriority w:val="0"/>
    <w:pPr>
      <w:spacing w:before="120" w:after="120" w:line="288" w:lineRule="auto"/>
    </w:pPr>
    <w:rPr>
      <w:rFonts w:ascii="Arial" w:hAnsi="Arial" w:eastAsia="等线" w:cs="Arial"/>
      <w:color w:val="8F959E"/>
      <w:sz w:val="22"/>
      <w:szCs w:val="22"/>
      <w:lang w:val="en-US" w:eastAsia="zh-CN" w:bidi="ar-SA"/>
    </w:rPr>
  </w:style>
  <w:style w:type="character" w:customStyle="1" w:styleId="248">
    <w:name w:val="标准文件_封面抬头 Char"/>
    <w:link w:val="79"/>
    <w:qFormat/>
    <w:uiPriority w:val="0"/>
    <w:rPr>
      <w:rFonts w:ascii="黑体" w:eastAsia="黑体"/>
      <w:b/>
      <w:sz w:val="64"/>
    </w:rPr>
  </w:style>
  <w:style w:type="character" w:customStyle="1" w:styleId="249">
    <w:name w:val="标准文件_附录标识 Char"/>
    <w:link w:val="80"/>
    <w:uiPriority w:val="0"/>
    <w:rPr>
      <w:rFonts w:ascii="黑体" w:hAnsi="Times New Roman" w:eastAsia="黑体" w:cs="Times New Roman"/>
      <w:sz w:val="21"/>
      <w:lang w:val="en-US" w:eastAsia="zh-CN" w:bidi="ar-SA"/>
    </w:rPr>
  </w:style>
  <w:style w:type="character" w:customStyle="1" w:styleId="250">
    <w:name w:val="标准文件_附录表标题 Char"/>
    <w:link w:val="81"/>
    <w:qFormat/>
    <w:uiPriority w:val="0"/>
    <w:rPr>
      <w:rFonts w:ascii="黑体" w:hAnsi="Times New Roman" w:eastAsia="黑体" w:cs="Times New Roman"/>
      <w:kern w:val="21"/>
      <w:sz w:val="21"/>
      <w:lang w:val="en-US" w:eastAsia="zh-CN" w:bidi="ar-SA"/>
    </w:rPr>
  </w:style>
  <w:style w:type="character" w:customStyle="1" w:styleId="251">
    <w:name w:val="标准文件_附录一级条标题 Char"/>
    <w:link w:val="82"/>
    <w:qFormat/>
    <w:uiPriority w:val="0"/>
    <w:rPr>
      <w:rFonts w:ascii="黑体" w:hAnsi="Times New Roman" w:eastAsia="黑体" w:cs="Times New Roman"/>
      <w:kern w:val="21"/>
      <w:sz w:val="21"/>
      <w:lang w:val="en-US" w:eastAsia="zh-CN" w:bidi="ar-SA"/>
    </w:rPr>
  </w:style>
  <w:style w:type="character" w:customStyle="1" w:styleId="252">
    <w:name w:val="标准文件_附录二级条标题 Char"/>
    <w:link w:val="83"/>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glossaryDocument" Target="glossary/document.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jpeg"/><Relationship Id="rId17" Type="http://schemas.openxmlformats.org/officeDocument/2006/relationships/image" Target="media/image1.emf"/><Relationship Id="rId16" Type="http://schemas.openxmlformats.org/officeDocument/2006/relationships/oleObject" Target="embeddings/oleObject1.bin"/><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7F83BF1019F4157A86D4873F3C8DC86"/>
        <w:style w:val=""/>
        <w:category>
          <w:name w:val="常规"/>
          <w:gallery w:val="placeholder"/>
        </w:category>
        <w:types>
          <w:type w:val="bbPlcHdr"/>
        </w:types>
        <w:behaviors>
          <w:behavior w:val="content"/>
        </w:behaviors>
        <w:description w:val=""/>
        <w:guid w:val="{8BC41855-E8F5-4CB7-B1C9-741E30F1E653}"/>
      </w:docPartPr>
      <w:docPartBody>
        <w:p w14:paraId="0C81AB12">
          <w:pPr>
            <w:pStyle w:val="5"/>
          </w:pPr>
          <w:r>
            <w:rPr>
              <w:rStyle w:val="4"/>
              <w:rFonts w:hint="eastAsia"/>
            </w:rPr>
            <w:t>单击或点击此处输入文字。</w:t>
          </w:r>
        </w:p>
      </w:docPartBody>
    </w:docPart>
    <w:docPart>
      <w:docPartPr>
        <w:name w:val="AD8D2FE330E34ECE935F1EED3F9DAEB8"/>
        <w:style w:val=""/>
        <w:category>
          <w:name w:val="常规"/>
          <w:gallery w:val="placeholder"/>
        </w:category>
        <w:types>
          <w:type w:val="bbPlcHdr"/>
        </w:types>
        <w:behaviors>
          <w:behavior w:val="content"/>
        </w:behaviors>
        <w:description w:val=""/>
        <w:guid w:val="{E822BBC2-51E4-47E2-A842-49DA18E78779}"/>
      </w:docPartPr>
      <w:docPartBody>
        <w:p w14:paraId="1C104855">
          <w:pPr>
            <w:pStyle w:val="6"/>
          </w:pPr>
          <w:r>
            <w:rPr>
              <w:rStyle w:val="4"/>
              <w:rFonts w:hint="eastAsia"/>
            </w:rPr>
            <w:t>选择一项。</w:t>
          </w:r>
        </w:p>
      </w:docPartBody>
    </w:docPart>
    <w:docPart>
      <w:docPartPr>
        <w:name w:val="61D3D008F9114E2F92E0B55DB5717D11"/>
        <w:style w:val=""/>
        <w:category>
          <w:name w:val="常规"/>
          <w:gallery w:val="placeholder"/>
        </w:category>
        <w:types>
          <w:type w:val="bbPlcHdr"/>
        </w:types>
        <w:behaviors>
          <w:behavior w:val="content"/>
        </w:behaviors>
        <w:description w:val=""/>
        <w:guid w:val="{64FB3933-7D73-49DF-8F3B-DCC961BBCF04}"/>
      </w:docPartPr>
      <w:docPartBody>
        <w:p w14:paraId="702BAEAB">
          <w:pPr>
            <w:pStyle w:val="7"/>
          </w:pPr>
          <w:r>
            <w:rPr>
              <w:rStyle w:val="4"/>
              <w:rFonts w:hint="eastAsia"/>
            </w:rPr>
            <w:t>选择一项。</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
  <w:rsids>
    <w:rsidRoot w:val="009D481B"/>
    <w:rsid w:val="000101DD"/>
    <w:rsid w:val="00024AE8"/>
    <w:rsid w:val="000C0B05"/>
    <w:rsid w:val="0010237F"/>
    <w:rsid w:val="00122479"/>
    <w:rsid w:val="00185D2D"/>
    <w:rsid w:val="00194917"/>
    <w:rsid w:val="001C037B"/>
    <w:rsid w:val="001F638F"/>
    <w:rsid w:val="002A5C22"/>
    <w:rsid w:val="002D131F"/>
    <w:rsid w:val="002E17C8"/>
    <w:rsid w:val="0031374C"/>
    <w:rsid w:val="00320D51"/>
    <w:rsid w:val="003235B2"/>
    <w:rsid w:val="003556D8"/>
    <w:rsid w:val="00384CAE"/>
    <w:rsid w:val="00394796"/>
    <w:rsid w:val="00416E6A"/>
    <w:rsid w:val="00421081"/>
    <w:rsid w:val="00486189"/>
    <w:rsid w:val="00493F82"/>
    <w:rsid w:val="004E4D99"/>
    <w:rsid w:val="00556960"/>
    <w:rsid w:val="00564019"/>
    <w:rsid w:val="005667F1"/>
    <w:rsid w:val="005E1137"/>
    <w:rsid w:val="006B2A16"/>
    <w:rsid w:val="006C0579"/>
    <w:rsid w:val="006F41A8"/>
    <w:rsid w:val="007365EA"/>
    <w:rsid w:val="00737A7C"/>
    <w:rsid w:val="00783732"/>
    <w:rsid w:val="007B322E"/>
    <w:rsid w:val="00807ED8"/>
    <w:rsid w:val="00851CA7"/>
    <w:rsid w:val="008556A6"/>
    <w:rsid w:val="008F2BA5"/>
    <w:rsid w:val="008F489E"/>
    <w:rsid w:val="008F4D32"/>
    <w:rsid w:val="00935150"/>
    <w:rsid w:val="009B2709"/>
    <w:rsid w:val="009D481B"/>
    <w:rsid w:val="009F4750"/>
    <w:rsid w:val="00A328C8"/>
    <w:rsid w:val="00A472B9"/>
    <w:rsid w:val="00A67615"/>
    <w:rsid w:val="00AA3BDD"/>
    <w:rsid w:val="00AB4405"/>
    <w:rsid w:val="00B864B9"/>
    <w:rsid w:val="00BA2E09"/>
    <w:rsid w:val="00BE5BA9"/>
    <w:rsid w:val="00C45A77"/>
    <w:rsid w:val="00DD2B94"/>
    <w:rsid w:val="00DD76E5"/>
    <w:rsid w:val="00DF0425"/>
    <w:rsid w:val="00E042BF"/>
    <w:rsid w:val="00E10794"/>
    <w:rsid w:val="00E836BE"/>
    <w:rsid w:val="00EA30A5"/>
    <w:rsid w:val="00F05875"/>
    <w:rsid w:val="00F063F1"/>
    <w:rsid w:val="00F15054"/>
    <w:rsid w:val="00F573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77F83BF1019F4157A86D4873F3C8DC8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rPr>
  </w:style>
  <w:style w:type="paragraph" w:customStyle="1" w:styleId="6">
    <w:name w:val="AD8D2FE330E34ECE935F1EED3F9DAEB8"/>
    <w:qFormat/>
    <w:uiPriority w:val="0"/>
    <w:pPr>
      <w:widowControl w:val="0"/>
      <w:spacing w:after="160" w:line="278" w:lineRule="auto"/>
    </w:pPr>
    <w:rPr>
      <w:rFonts w:asciiTheme="minorHAnsi" w:hAnsiTheme="minorHAnsi" w:eastAsiaTheme="minorEastAsia" w:cstheme="minorBidi"/>
      <w:kern w:val="2"/>
      <w:sz w:val="22"/>
      <w:szCs w:val="24"/>
      <w:lang w:val="en-US" w:eastAsia="zh-CN" w:bidi="ar-SA"/>
    </w:rPr>
  </w:style>
  <w:style w:type="paragraph" w:customStyle="1" w:styleId="7">
    <w:name w:val="61D3D008F9114E2F92E0B55DB5717D11"/>
    <w:qFormat/>
    <w:uiPriority w:val="0"/>
    <w:pPr>
      <w:widowControl w:val="0"/>
      <w:spacing w:after="160" w:line="278" w:lineRule="auto"/>
    </w:pPr>
    <w:rPr>
      <w:rFonts w:asciiTheme="minorHAnsi" w:hAnsiTheme="minorHAnsi" w:eastAsiaTheme="minorEastAsia" w:cstheme="minorBidi"/>
      <w:kern w:val="2"/>
      <w:sz w:val="22"/>
      <w:szCs w:val="24"/>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B89323-4834-4A0D-8CB5-E3F56AB2A6C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21</Pages>
  <Words>2330</Words>
  <Characters>13282</Characters>
  <Lines>110</Lines>
  <Paragraphs>31</Paragraphs>
  <TotalTime>36</TotalTime>
  <ScaleCrop>false</ScaleCrop>
  <LinksUpToDate>false</LinksUpToDate>
  <CharactersWithSpaces>15581</CharactersWithSpaces>
  <Application>WPS Office_12.1.2.22575_F1E327BC-269C-435d-A152-05C5408002CA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2026-05-11T15:59:00Z</dcterms:created>
  <dc:creator>wx fu</dc:creator>
  <cp:lastModifiedBy>xmsj</cp:lastModifiedBy>
  <cp:lastPrinted>2026-03-21T20:04:00Z</cp:lastPrinted>
  <dcterms:modified xsi:type="dcterms:W3CDTF">2026-06-30T16:18:40Z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GB</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国家标准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-1</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TemplateDocerSaveRecord">
    <vt:lpwstr>eyJoZGlkIjoiMGFiYmQ3ZGE0Mjk3NjA3NGM5M2E4NDliMGMyYTlmOGUiLCJ1c2VySWQiOiIzMTI4NzM1MTAifQ==</vt:lpwstr>
  </property>
  <property fmtid="{D5CDD505-2E9C-101B-9397-08002B2CF9AE}" pid="15" name="KSOProductBuildVer">
    <vt:lpwstr>2052-12.1.2.22575</vt:lpwstr>
  </property>
  <property fmtid="{D5CDD505-2E9C-101B-9397-08002B2CF9AE}" pid="16" name="ICV">
    <vt:lpwstr>3E4240D0361097BBE6D2F2693757DECA_43</vt:lpwstr>
  </property>
</Properties>
</file>