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eastAsia="方正小标宋简体"/>
          <w:sz w:val="44"/>
          <w:szCs w:val="44"/>
        </w:rPr>
      </w:pPr>
      <w:r>
        <w:rPr>
          <w:rFonts w:hint="eastAsia" w:eastAsia="方正小标宋简体"/>
          <w:sz w:val="44"/>
          <w:szCs w:val="44"/>
        </w:rPr>
        <w:t>市场监管行业标准编制说明</w:t>
      </w:r>
    </w:p>
    <w:p>
      <w:pPr>
        <w:autoSpaceDE w:val="0"/>
        <w:autoSpaceDN w:val="0"/>
        <w:adjustRightInd w:val="0"/>
        <w:jc w:val="center"/>
        <w:rPr>
          <w:rFonts w:eastAsia="方正仿宋简体"/>
          <w:color w:val="000000"/>
          <w:sz w:val="24"/>
        </w:rPr>
      </w:pPr>
    </w:p>
    <w:tbl>
      <w:tblPr>
        <w:tblStyle w:val="5"/>
        <w:tblW w:w="9390" w:type="dxa"/>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
      <w:tblGrid>
        <w:gridCol w:w="1773"/>
        <w:gridCol w:w="1346"/>
        <w:gridCol w:w="354"/>
        <w:gridCol w:w="271"/>
        <w:gridCol w:w="764"/>
        <w:gridCol w:w="99"/>
        <w:gridCol w:w="1374"/>
        <w:gridCol w:w="173"/>
        <w:gridCol w:w="187"/>
        <w:gridCol w:w="763"/>
        <w:gridCol w:w="379"/>
        <w:gridCol w:w="190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9390" w:type="dxa"/>
            <w:gridSpan w:val="12"/>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eastAsia="等线" w:cs="等线"/>
                <w:b/>
                <w:color w:val="000000"/>
                <w:sz w:val="21"/>
                <w:szCs w:val="21"/>
              </w:rPr>
            </w:pPr>
            <w:r>
              <w:rPr>
                <w:rFonts w:hint="eastAsia" w:eastAsia="等线" w:cs="等线"/>
                <w:b/>
                <w:color w:val="000000"/>
                <w:sz w:val="21"/>
                <w:szCs w:val="21"/>
              </w:rPr>
              <w:t>1、基本信息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54"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1.1 标准名称</w:t>
            </w: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color w:val="000000"/>
                <w:sz w:val="21"/>
                <w:szCs w:val="21"/>
              </w:rPr>
            </w:pPr>
            <w:r>
              <w:rPr>
                <w:rFonts w:hint="eastAsia" w:eastAsia="等线" w:cs="等线"/>
                <w:color w:val="000000"/>
                <w:sz w:val="21"/>
                <w:szCs w:val="21"/>
              </w:rPr>
              <w:t>食品生产许可证数据规范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98"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eastAsia="等线" w:cs="等线"/>
                <w:color w:val="auto"/>
                <w:sz w:val="21"/>
                <w:szCs w:val="21"/>
              </w:rPr>
            </w:pPr>
            <w:r>
              <w:rPr>
                <w:rFonts w:hint="eastAsia" w:eastAsia="等线" w:cs="等线"/>
                <w:color w:val="000000"/>
                <w:sz w:val="21"/>
                <w:szCs w:val="21"/>
              </w:rPr>
              <w:fldChar w:fldCharType="begin">
                <w:ffData>
                  <w:name w:val="ESTD_NAME"/>
                  <w:enabled/>
                  <w:calcOnExit w:val="0"/>
                  <w:textInput>
                    <w:default w:val="Information on food safety supervision in national wholesale markets for edible agricultural products data specification"/>
                  </w:textInput>
                </w:ffData>
              </w:fldChar>
            </w:r>
            <w:bookmarkStart w:id="0" w:name="ESTD_NAME"/>
            <w:r>
              <w:rPr>
                <w:rFonts w:hint="eastAsia" w:eastAsia="等线" w:cs="等线"/>
                <w:color w:val="000000"/>
                <w:sz w:val="21"/>
                <w:szCs w:val="21"/>
              </w:rPr>
              <w:instrText xml:space="preserve"> FORMTEXT </w:instrText>
            </w:r>
            <w:r>
              <w:rPr>
                <w:rFonts w:hint="eastAsia" w:eastAsia="等线" w:cs="等线"/>
                <w:color w:val="000000"/>
                <w:sz w:val="21"/>
                <w:szCs w:val="21"/>
              </w:rPr>
              <w:fldChar w:fldCharType="separate"/>
            </w:r>
            <w:r>
              <w:rPr>
                <w:rFonts w:eastAsia="黑体"/>
                <w:sz w:val="21"/>
                <w:szCs w:val="21"/>
              </w:rPr>
              <w:fldChar w:fldCharType="begin">
                <w:ffData>
                  <w:name w:val="ESTD_NAME"/>
                  <w:enabled/>
                  <w:calcOnExit w:val="0"/>
                  <w:textInput>
                    <w:default w:val="Business entity credit information disclosure data specification"/>
                  </w:textInput>
                </w:ffData>
              </w:fldChar>
            </w:r>
            <w:r>
              <w:rPr>
                <w:rFonts w:eastAsia="黑体"/>
                <w:sz w:val="21"/>
                <w:szCs w:val="21"/>
              </w:rPr>
              <w:instrText xml:space="preserve"> FORMTEXT </w:instrText>
            </w:r>
            <w:r>
              <w:rPr>
                <w:rFonts w:eastAsia="黑体"/>
                <w:sz w:val="21"/>
                <w:szCs w:val="21"/>
              </w:rPr>
              <w:fldChar w:fldCharType="separate"/>
            </w:r>
            <w:r>
              <w:rPr>
                <w:rFonts w:hint="eastAsia" w:eastAsia="黑体"/>
                <w:sz w:val="21"/>
                <w:szCs w:val="21"/>
              </w:rPr>
              <w:t>Food production licence</w:t>
            </w:r>
            <w:r>
              <w:rPr>
                <w:rFonts w:eastAsia="黑体"/>
                <w:sz w:val="21"/>
                <w:szCs w:val="21"/>
              </w:rPr>
              <w:t xml:space="preserve"> data specification</w:t>
            </w:r>
            <w:r>
              <w:rPr>
                <w:rFonts w:eastAsia="黑体"/>
                <w:sz w:val="21"/>
                <w:szCs w:val="21"/>
              </w:rPr>
              <w:fldChar w:fldCharType="end"/>
            </w:r>
            <w:r>
              <w:rPr>
                <w:rFonts w:hint="eastAsia" w:eastAsia="等线" w:cs="等线"/>
                <w:color w:val="000000"/>
                <w:sz w:val="21"/>
                <w:szCs w:val="21"/>
              </w:rPr>
              <w:fldChar w:fldCharType="end"/>
            </w:r>
            <w:bookmarkEnd w:id="0"/>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1.2 与国际标准和国外先进标准一致性程度情况</w:t>
            </w:r>
          </w:p>
        </w:tc>
        <w:tc>
          <w:tcPr>
            <w:tcW w:w="1700" w:type="dxa"/>
            <w:gridSpan w:val="2"/>
            <w:vMerge w:val="restart"/>
            <w:tcBorders>
              <w:top w:val="single" w:color="auto" w:sz="4" w:space="0"/>
              <w:left w:val="single" w:color="auto" w:sz="4" w:space="0"/>
              <w:bottom w:val="single" w:color="auto" w:sz="4" w:space="0"/>
              <w:right w:val="single" w:color="auto" w:sz="4" w:space="0"/>
            </w:tcBorders>
            <w:vAlign w:val="center"/>
          </w:tcPr>
          <w:p>
            <w:pPr>
              <w:jc w:val="left"/>
              <w:rPr>
                <w:rFonts w:eastAsia="等线" w:cs="等线"/>
                <w:color w:val="000000"/>
                <w:sz w:val="21"/>
                <w:szCs w:val="21"/>
              </w:rPr>
            </w:pPr>
            <w:r>
              <w:rPr>
                <w:rFonts w:hint="eastAsia" w:eastAsia="等线" w:cs="等线"/>
                <w:color w:val="000000"/>
                <w:sz w:val="21"/>
                <w:szCs w:val="21"/>
              </w:rPr>
              <w:t>□等同采用</w:t>
            </w:r>
          </w:p>
          <w:p>
            <w:pPr>
              <w:jc w:val="left"/>
              <w:rPr>
                <w:rFonts w:eastAsia="等线" w:cs="等线"/>
                <w:color w:val="000000"/>
                <w:sz w:val="21"/>
                <w:szCs w:val="21"/>
              </w:rPr>
            </w:pPr>
            <w:r>
              <w:rPr>
                <w:rFonts w:hint="eastAsia" w:eastAsia="等线" w:cs="等线"/>
                <w:color w:val="000000"/>
                <w:sz w:val="21"/>
                <w:szCs w:val="21"/>
              </w:rPr>
              <w:t>□修改采用</w:t>
            </w:r>
          </w:p>
          <w:p>
            <w:pPr>
              <w:jc w:val="left"/>
              <w:rPr>
                <w:rFonts w:eastAsia="等线" w:cs="等线"/>
                <w:color w:val="000000"/>
                <w:sz w:val="21"/>
                <w:szCs w:val="21"/>
              </w:rPr>
            </w:pPr>
            <w:r>
              <w:rPr>
                <w:rFonts w:hint="eastAsia" w:eastAsia="等线" w:cs="等线"/>
                <w:color w:val="000000"/>
                <w:sz w:val="21"/>
                <w:szCs w:val="21"/>
              </w:rPr>
              <w:t>□非等效采用</w:t>
            </w:r>
          </w:p>
          <w:p>
            <w:pPr>
              <w:jc w:val="left"/>
              <w:rPr>
                <w:rFonts w:eastAsia="等线" w:cs="等线"/>
                <w:b/>
                <w:color w:val="000000"/>
                <w:sz w:val="21"/>
                <w:szCs w:val="21"/>
              </w:rPr>
            </w:pPr>
            <w:r>
              <w:rPr>
                <w:rFonts w:hint="eastAsia" w:ascii="等线" w:hAnsi="等线" w:eastAsia="等线" w:cs="等线"/>
                <w:color w:val="000000"/>
                <w:sz w:val="21"/>
                <w:szCs w:val="21"/>
              </w:rPr>
              <w:t>■</w:t>
            </w:r>
            <w:r>
              <w:rPr>
                <w:rFonts w:hint="eastAsia" w:eastAsia="等线" w:cs="等线"/>
                <w:color w:val="000000"/>
                <w:sz w:val="21"/>
                <w:szCs w:val="21"/>
              </w:rPr>
              <w:t>未采用</w:t>
            </w: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标准编号</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19"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both"/>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879"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1.3 任务来源</w:t>
            </w:r>
          </w:p>
        </w:tc>
        <w:tc>
          <w:tcPr>
            <w:tcW w:w="1700" w:type="dxa"/>
            <w:gridSpan w:val="2"/>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批准立项的文件名称和文件号</w:t>
            </w:r>
          </w:p>
        </w:tc>
        <w:tc>
          <w:tcPr>
            <w:tcW w:w="2508"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eastAsia="等线" w:cs="等线"/>
                <w:color w:val="000000"/>
                <w:sz w:val="21"/>
                <w:szCs w:val="21"/>
                <w:lang w:eastAsia="zh-CN"/>
              </w:rPr>
            </w:pPr>
            <w:r>
              <w:rPr>
                <w:rFonts w:hint="eastAsia" w:eastAsia="等线" w:cs="等线"/>
                <w:color w:val="000000"/>
                <w:sz w:val="21"/>
                <w:szCs w:val="21"/>
              </w:rPr>
              <w:t>市场监管总局关于下达202</w:t>
            </w:r>
            <w:r>
              <w:rPr>
                <w:rFonts w:hint="eastAsia" w:eastAsia="等线" w:cs="等线"/>
                <w:color w:val="000000"/>
                <w:sz w:val="21"/>
                <w:szCs w:val="21"/>
                <w:lang w:val="en-US" w:eastAsia="zh-CN"/>
              </w:rPr>
              <w:t>4</w:t>
            </w:r>
            <w:r>
              <w:rPr>
                <w:rFonts w:hint="eastAsia" w:eastAsia="等线" w:cs="等线"/>
                <w:color w:val="000000"/>
                <w:sz w:val="21"/>
                <w:szCs w:val="21"/>
              </w:rPr>
              <w:t>年度市场监管行业标准制订计划项目的通知</w:t>
            </w:r>
            <w:r>
              <w:rPr>
                <w:rFonts w:hint="eastAsia" w:eastAsia="等线" w:cs="等线"/>
                <w:color w:val="000000"/>
                <w:sz w:val="21"/>
                <w:szCs w:val="21"/>
                <w:lang w:eastAsia="zh-CN"/>
              </w:rPr>
              <w:t>（国市监办发【</w:t>
            </w:r>
            <w:r>
              <w:rPr>
                <w:rFonts w:hint="eastAsia" w:eastAsia="等线" w:cs="等线"/>
                <w:color w:val="000000"/>
                <w:sz w:val="21"/>
                <w:szCs w:val="21"/>
                <w:lang w:val="en-US" w:eastAsia="zh-CN"/>
              </w:rPr>
              <w:t>2025</w:t>
            </w:r>
            <w:r>
              <w:rPr>
                <w:rFonts w:hint="eastAsia" w:eastAsia="等线" w:cs="等线"/>
                <w:color w:val="000000"/>
                <w:sz w:val="21"/>
                <w:szCs w:val="21"/>
                <w:lang w:eastAsia="zh-CN"/>
              </w:rPr>
              <w:t>】</w:t>
            </w:r>
            <w:r>
              <w:rPr>
                <w:rFonts w:hint="eastAsia" w:eastAsia="等线" w:cs="等线"/>
                <w:color w:val="000000"/>
                <w:sz w:val="21"/>
                <w:szCs w:val="21"/>
                <w:lang w:val="en-US" w:eastAsia="zh-CN"/>
              </w:rPr>
              <w:t>39号</w:t>
            </w:r>
            <w:r>
              <w:rPr>
                <w:rFonts w:hint="eastAsia" w:eastAsia="等线" w:cs="等线"/>
                <w:color w:val="000000"/>
                <w:sz w:val="21"/>
                <w:szCs w:val="21"/>
                <w:lang w:eastAsia="zh-CN"/>
              </w:rPr>
              <w:t>）</w:t>
            </w:r>
          </w:p>
        </w:tc>
        <w:tc>
          <w:tcPr>
            <w:tcW w:w="1123" w:type="dxa"/>
            <w:gridSpan w:val="3"/>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计划编号</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eastAsia="等线" w:cs="等线"/>
                <w:color w:val="000000"/>
                <w:sz w:val="21"/>
                <w:szCs w:val="21"/>
                <w:lang w:val="en-US" w:eastAsia="zh-CN"/>
              </w:rPr>
            </w:pPr>
            <w:r>
              <w:rPr>
                <w:rFonts w:hint="eastAsia" w:eastAsia="等线" w:cs="等线"/>
                <w:color w:val="000000"/>
                <w:sz w:val="21"/>
                <w:szCs w:val="21"/>
              </w:rPr>
              <w:t>2024MR001</w:t>
            </w:r>
            <w:r>
              <w:rPr>
                <w:rFonts w:hint="eastAsia" w:eastAsia="等线" w:cs="等线"/>
                <w:color w:val="000000"/>
                <w:sz w:val="21"/>
                <w:szCs w:val="21"/>
                <w:lang w:val="en-US" w:eastAsia="zh-CN"/>
              </w:rP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89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1.4制（修）订</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color w:val="000000"/>
                <w:sz w:val="21"/>
                <w:szCs w:val="21"/>
              </w:rPr>
            </w:pPr>
            <w:r>
              <w:rPr>
                <w:rFonts w:hint="eastAsia" w:ascii="等线" w:hAnsi="等线" w:eastAsia="等线" w:cs="等线"/>
                <w:color w:val="000000"/>
                <w:sz w:val="21"/>
                <w:szCs w:val="21"/>
              </w:rPr>
              <w:t>■</w:t>
            </w:r>
            <w:r>
              <w:rPr>
                <w:rFonts w:hint="eastAsia" w:eastAsia="等线" w:cs="等线"/>
                <w:snapToGrid w:val="0"/>
                <w:color w:val="000000"/>
                <w:kern w:val="0"/>
                <w:sz w:val="21"/>
                <w:szCs w:val="21"/>
              </w:rPr>
              <w:t>制定     □修订</w:t>
            </w:r>
            <w:r>
              <w:rPr>
                <w:rFonts w:hint="eastAsia" w:eastAsia="等线" w:cs="等线"/>
                <w:sz w:val="21"/>
                <w:szCs w:val="21"/>
              </w:rPr>
              <w:t>（被修订标准名称及编号：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6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1.5 起止时间</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2024年  </w:t>
            </w:r>
            <w:r>
              <w:rPr>
                <w:rFonts w:hint="eastAsia" w:eastAsia="等线" w:cs="等线"/>
                <w:color w:val="000000"/>
                <w:sz w:val="21"/>
                <w:szCs w:val="21"/>
                <w:lang w:val="en-US" w:eastAsia="zh-CN"/>
              </w:rPr>
              <w:t>10</w:t>
            </w:r>
            <w:r>
              <w:rPr>
                <w:rFonts w:hint="eastAsia" w:eastAsia="等线" w:cs="等线"/>
                <w:color w:val="000000"/>
                <w:sz w:val="21"/>
                <w:szCs w:val="21"/>
              </w:rPr>
              <w:t xml:space="preserve"> 月--- 2026 年  </w:t>
            </w:r>
            <w:r>
              <w:rPr>
                <w:rFonts w:hint="eastAsia" w:eastAsia="等线" w:cs="等线"/>
                <w:color w:val="000000"/>
                <w:sz w:val="21"/>
                <w:szCs w:val="21"/>
                <w:lang w:val="en-US" w:eastAsia="zh-CN"/>
              </w:rPr>
              <w:t>10</w:t>
            </w:r>
            <w:r>
              <w:rPr>
                <w:rFonts w:hint="eastAsia" w:eastAsia="等线" w:cs="等线"/>
                <w:color w:val="000000"/>
                <w:sz w:val="21"/>
                <w:szCs w:val="21"/>
              </w:rPr>
              <w:t xml:space="preserve"> 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1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1.6 标准起草单位</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hint="eastAsia" w:eastAsia="等线" w:cs="等线"/>
                <w:color w:val="000000"/>
                <w:sz w:val="21"/>
                <w:szCs w:val="21"/>
                <w:lang w:eastAsia="zh-CN"/>
              </w:rPr>
            </w:pPr>
            <w:r>
              <w:rPr>
                <w:rFonts w:hint="eastAsia" w:eastAsia="等线" w:cs="等线"/>
                <w:color w:val="000000"/>
                <w:sz w:val="21"/>
                <w:szCs w:val="21"/>
                <w:lang w:eastAsia="zh-CN"/>
              </w:rPr>
              <w:t>国家</w:t>
            </w:r>
            <w:r>
              <w:rPr>
                <w:rFonts w:hint="eastAsia" w:eastAsia="等线" w:cs="等线"/>
                <w:color w:val="000000"/>
                <w:sz w:val="21"/>
                <w:szCs w:val="21"/>
              </w:rPr>
              <w:t>市场</w:t>
            </w:r>
            <w:r>
              <w:rPr>
                <w:rFonts w:hint="eastAsia" w:eastAsia="等线" w:cs="等线"/>
                <w:color w:val="000000"/>
                <w:sz w:val="21"/>
                <w:szCs w:val="21"/>
                <w:lang w:eastAsia="zh-CN"/>
              </w:rPr>
              <w:t>监督</w:t>
            </w:r>
            <w:r>
              <w:rPr>
                <w:rFonts w:hint="eastAsia" w:eastAsia="等线" w:cs="等线"/>
                <w:color w:val="000000"/>
                <w:sz w:val="21"/>
                <w:szCs w:val="21"/>
              </w:rPr>
              <w:t>管</w:t>
            </w:r>
            <w:r>
              <w:rPr>
                <w:rFonts w:hint="eastAsia" w:eastAsia="等线" w:cs="等线"/>
                <w:color w:val="000000"/>
                <w:sz w:val="21"/>
                <w:szCs w:val="21"/>
                <w:lang w:eastAsia="zh-CN"/>
              </w:rPr>
              <w:t>理</w:t>
            </w:r>
            <w:r>
              <w:rPr>
                <w:rFonts w:hint="eastAsia" w:eastAsia="等线" w:cs="等线"/>
                <w:color w:val="000000"/>
                <w:sz w:val="21"/>
                <w:szCs w:val="21"/>
              </w:rPr>
              <w:t>总局食品生产经营安全监督管理司</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42"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1.7 起草团队</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snapToGrid w:val="0"/>
                <w:color w:val="000000"/>
                <w:kern w:val="0"/>
                <w:sz w:val="21"/>
                <w:szCs w:val="21"/>
              </w:rPr>
            </w:pPr>
            <w:r>
              <w:rPr>
                <w:rFonts w:hint="eastAsia" w:eastAsia="等线" w:cs="等线"/>
                <w:snapToGrid w:val="0"/>
                <w:color w:val="000000"/>
                <w:kern w:val="0"/>
                <w:sz w:val="21"/>
                <w:szCs w:val="21"/>
              </w:rPr>
              <w:t>中国网络安全审查认证和市场监管大数据中心</w:t>
            </w:r>
          </w:p>
          <w:p>
            <w:pPr>
              <w:rPr>
                <w:rFonts w:eastAsia="等线" w:cs="等线"/>
                <w:snapToGrid w:val="0"/>
                <w:color w:val="000000"/>
                <w:kern w:val="0"/>
                <w:sz w:val="21"/>
                <w:szCs w:val="21"/>
              </w:rPr>
            </w:pPr>
            <w:r>
              <w:rPr>
                <w:rFonts w:hint="eastAsia" w:eastAsia="等线" w:cs="等线"/>
                <w:snapToGrid w:val="0"/>
                <w:color w:val="000000"/>
                <w:kern w:val="0"/>
                <w:sz w:val="21"/>
                <w:szCs w:val="21"/>
              </w:rPr>
              <w:t>中国标准化研究院</w:t>
            </w:r>
          </w:p>
          <w:p>
            <w:pPr>
              <w:rPr>
                <w:rFonts w:eastAsia="等线" w:cs="等线"/>
                <w:color w:val="000000"/>
                <w:sz w:val="21"/>
                <w:szCs w:val="21"/>
              </w:rPr>
            </w:pPr>
            <w:r>
              <w:rPr>
                <w:rFonts w:hint="eastAsia" w:eastAsia="等线" w:cs="等线"/>
                <w:snapToGrid w:val="0"/>
                <w:color w:val="000000"/>
                <w:kern w:val="0"/>
                <w:sz w:val="21"/>
                <w:szCs w:val="21"/>
              </w:rPr>
              <w:t>四川省市场监督管理局数据应用中心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93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1.8 标准体系表内编号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hint="eastAsia" w:eastAsia="等线" w:cs="等线"/>
                <w:color w:val="000000"/>
                <w:sz w:val="21"/>
                <w:szCs w:val="21"/>
                <w:lang w:eastAsia="zh-CN"/>
              </w:rPr>
            </w:pPr>
            <w:r>
              <w:rPr>
                <w:rFonts w:hint="eastAsia" w:eastAsia="等线" w:cs="等线"/>
                <w:color w:val="000000"/>
                <w:sz w:val="21"/>
                <w:szCs w:val="21"/>
                <w:lang w:eastAsia="zh-CN"/>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6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1.9调整情况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eastAsia="等线" w:cs="等线"/>
                <w:color w:val="000000"/>
                <w:sz w:val="21"/>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2、背景情况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50" w:hRule="atLeast"/>
        </w:trPr>
        <w:tc>
          <w:tcPr>
            <w:tcW w:w="1773" w:type="dxa"/>
            <w:tcBorders>
              <w:top w:val="single" w:color="auto" w:sz="6" w:space="0"/>
              <w:left w:val="single" w:color="auto" w:sz="4" w:space="0"/>
              <w:bottom w:val="single" w:color="auto" w:sz="6" w:space="0"/>
              <w:right w:val="single" w:color="auto" w:sz="4" w:space="0"/>
            </w:tcBorders>
            <w:vAlign w:val="center"/>
          </w:tcPr>
          <w:p>
            <w:pPr>
              <w:ind w:left="214" w:leftChars="67" w:right="54" w:rightChars="17"/>
              <w:rPr>
                <w:rFonts w:eastAsia="等线" w:cs="等线"/>
                <w:color w:val="000000"/>
                <w:sz w:val="21"/>
                <w:szCs w:val="21"/>
              </w:rPr>
            </w:pPr>
            <w:r>
              <w:rPr>
                <w:rFonts w:hint="eastAsia" w:eastAsia="等线" w:cs="等线"/>
                <w:color w:val="000000"/>
                <w:sz w:val="21"/>
                <w:szCs w:val="21"/>
              </w:rPr>
              <w:t>2.1 目的、意义</w:t>
            </w:r>
          </w:p>
          <w:p>
            <w:pPr>
              <w:jc w:val="center"/>
              <w:rPr>
                <w:rFonts w:eastAsia="等线" w:cs="等线"/>
                <w:b/>
                <w:color w:val="000000"/>
                <w:sz w:val="21"/>
                <w:szCs w:val="21"/>
              </w:rPr>
            </w:pPr>
            <w:r>
              <w:rPr>
                <w:rFonts w:hint="eastAsia" w:eastAsia="等线" w:cs="等线"/>
                <w:color w:val="000000"/>
                <w:sz w:val="21"/>
                <w:szCs w:val="21"/>
              </w:rPr>
              <w:t>（工作开展背景及要求）</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随着我国经济的快速发展和人民生活水平的不断提高，食品安全问题越来越受到社会的广泛关注。食品生产许可作为食品安全监管的重要环节，食品生产安全直接关系到消费者的健康和生命安全。为规范食品、食品添加剂生产许可活动，加强食品生产监督管理，保障食品安全，国家市场监督管理总局出台了《食品生产许可管理办法》（国家市场监督管理总局令第24号）。</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食品生产许可管理办法》，明确要求在中华人民共和国境内从事食品生产活动，应当依法取得食品生产许可，食品生产许可应当遵循依法、公开、公平、公正、便民、高效的原则。为食品生产企业许可业务提供了法律依据。然而，当前食品生产许可信息化数据标准规范方面尚存在不足，如数据格式不统一、信息孤岛现象严重、数据共享和利用效率低等问题，这些问题严重影响了监管效率和食品安全水平的提升。</w:t>
            </w:r>
          </w:p>
          <w:p>
            <w:pPr>
              <w:spacing w:line="360" w:lineRule="exact"/>
              <w:ind w:firstLine="420" w:firstLineChars="200"/>
              <w:rPr>
                <w:rFonts w:asciiTheme="majorEastAsia" w:hAnsiTheme="majorEastAsia" w:eastAsiaTheme="majorEastAsia"/>
                <w:sz w:val="21"/>
                <w:szCs w:val="21"/>
              </w:rPr>
            </w:pPr>
            <w:r>
              <w:rPr>
                <w:rFonts w:hint="eastAsia" w:eastAsia="等线" w:cs="等线"/>
                <w:color w:val="000000"/>
                <w:sz w:val="21"/>
                <w:szCs w:val="21"/>
              </w:rPr>
              <w:t>因此，制定全国食品生产许可证行业数据标准规范，对于提高监管效率、保障食品安全监管具有重要意义。通过建立统一的食品生存许可证标准数据标准，可以在国家层面指导地方食品生产许可相应信息系统的建设，为跨地域、跨层级、跨系统的数据汇聚采集和共享协同，提供较好的标准指导，为食品安全智慧监管工作奠定技术基础；同时也可为食品生产许可证信息的统一规范公示，提供统一的标准指导，从而进一步提高食品生产许可信息的透明度和政府公信力。</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98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2.2 与国内外相关标准、文献的关系</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1.国外标准情况：与食品安全直接相关的国际标准化组织主要有国际食品法典委员会(CAC)、国际食品制造商协会(ICGMA)，国际标准化组织食品技术委员会食品安全管理体系分委会（ISO/TC34/SC17）。其中，CAC是政府间国际组织，ICGMA均是国际非政府组织。在食品安全领域的国际标准一般指的是CAC制定的国际食品法典标准，主要是为了在国际食品和农产品贸易中给消费者提高更高水平的保护，并促进更公平的交易活动而制定的一系列食品标准和相关的规定。食品法典以统一的形式提出并汇集了国际上已采用的全部食品标准，包括所有向消费者销售的加工、半加工食品或食品原料的标准。有关食品卫生、食品添加剂、农药残留、污染物、标签及说明、采样与分析方法等方面的通用条款及准则。此外，ISO/TC34/SC17目前已发布七个ISO22000系列国际标准，该系列标准主要是描述食品安全管理体系要求的使用指导标准，又是可供食品生产、操作和供应的组织认证和注册的依据。纵观国际食品标准化情况，针对食品生产许可信息化方面还没有进一步标准化，尤其是针对食品生产信息化系统的数据要求方面的标准化。</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2.国内标准情况：在食品安全标准方面，我国与国际标准化组织食品技术委员会食品安全管理体系分委会（ISO/TC34/SC17）对口的是全国食品质量控制与管理标准化技术委员会（</w:t>
            </w:r>
            <w:r>
              <w:rPr>
                <w:rFonts w:eastAsia="等线" w:cs="等线"/>
                <w:color w:val="000000"/>
                <w:sz w:val="21"/>
                <w:szCs w:val="21"/>
              </w:rPr>
              <w:t>TC313</w:t>
            </w:r>
            <w:r>
              <w:rPr>
                <w:rFonts w:hint="eastAsia" w:eastAsia="等线" w:cs="等线"/>
                <w:color w:val="000000"/>
                <w:sz w:val="21"/>
                <w:szCs w:val="21"/>
              </w:rPr>
              <w:t>），主要开展食品质量控制领域的基础性、综合性、通用性标准化工作。目前已发布涉及食品生产方面的国家标准有GB/T 44135-2024</w:t>
            </w:r>
            <w:r>
              <w:rPr>
                <w:rFonts w:hint="eastAsia" w:eastAsia="等线" w:cs="等线"/>
                <w:color w:val="000000"/>
                <w:sz w:val="21"/>
                <w:szCs w:val="21"/>
              </w:rPr>
              <w:tab/>
            </w:r>
            <w:r>
              <w:rPr>
                <w:rFonts w:hint="eastAsia" w:eastAsia="等线" w:cs="等线"/>
                <w:color w:val="000000"/>
                <w:sz w:val="21"/>
                <w:szCs w:val="21"/>
              </w:rPr>
              <w:t>《食品生产物料标识指南》、GB/T 43730-2024《食品生产数据管理技术规范》、GB/T 43812-2024《食品生产物料平衡管理技术指南》、GB/T 30644-2014《食品生产加工企业电子记录通用要求》、GB/T 25007-2010《速冻食品生产HACCP应用准则》、GB/T 44881-2023《食品生产质量控制与管理通用技术规范》GB/T 23734-2009</w:t>
            </w:r>
            <w:r>
              <w:rPr>
                <w:rFonts w:hint="eastAsia" w:eastAsia="等线" w:cs="等线"/>
                <w:color w:val="000000"/>
                <w:sz w:val="21"/>
                <w:szCs w:val="21"/>
              </w:rPr>
              <w:tab/>
            </w:r>
            <w:r>
              <w:rPr>
                <w:rFonts w:hint="eastAsia" w:eastAsia="等线" w:cs="等线"/>
                <w:color w:val="000000"/>
                <w:sz w:val="21"/>
                <w:szCs w:val="21"/>
              </w:rPr>
              <w:t>《食品生产加工小作坊质量安全控制基本要求》，但这些标准主要规范内容集中在基础性、综合性、通用性食品安全和生产管理方面。在食品行业标准方面，相关行业先后发布了RB/T011-2019《食品生产企业可追溯体系建立和实施技术规范》SN/T 4962-2017《出口食品生产企业清洗剂使用指南》SB/T 10699-2012《速冻食品生产管理规范》SN/T 3692-2013《出口食品生产企业润滑剂使用指南》等食品行业标准，主要集中规范行业内单一食品或食品企业生产的技术和管理标准。综上所述，目前，针对食品生产许可尽管发布实施了一些国家标准、行业标准，但发布实施的标准仅对食品生产的技术和管理进行要求，对食品生产许可信息化标准方面还未涉及，无法对整个市场监管行业内的食品生产许可进行统一指导。因此制定《食品生产许可数据规范》行业标准正是填补目前该方面标准缺失的现状，与现行已发布的食品安全国家标准不存在内容的重复和交叉，是对目前食品安全标准体系建设的补充和完善，从市场监管行业内规范食品生产许可业务系统的开发建设，以及相关业务信息的采集、处理、交换与共享。</w:t>
            </w:r>
          </w:p>
          <w:p>
            <w:pPr>
              <w:spacing w:line="360" w:lineRule="exact"/>
              <w:ind w:firstLine="420" w:firstLineChars="200"/>
              <w:rPr>
                <w:rFonts w:hint="eastAsia" w:eastAsia="等线" w:asciiTheme="majorEastAsia" w:hAnsiTheme="majorEastAsia"/>
                <w:sz w:val="21"/>
                <w:szCs w:val="21"/>
                <w:lang w:eastAsia="zh-CN"/>
              </w:rPr>
            </w:pPr>
            <w:r>
              <w:rPr>
                <w:rFonts w:hint="eastAsia" w:eastAsia="等线" w:cs="等线"/>
                <w:color w:val="000000"/>
                <w:sz w:val="21"/>
                <w:szCs w:val="21"/>
              </w:rPr>
              <w:t>3.与现行各类信用法律法规的关系：《中华人民共和国食品安全法》、《食品生产许可管理办法》、《食品安全法实施条例》等各类食品生产许可政策措施、法律法规的重要举措</w:t>
            </w:r>
            <w:r>
              <w:rPr>
                <w:rFonts w:hint="eastAsia" w:eastAsia="等线" w:cs="等线"/>
                <w:color w:val="000000"/>
                <w:sz w:val="21"/>
                <w:szCs w:val="21"/>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3、编制过程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89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3.1 分工情况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2025年4月，国家市场监督管理总局关于下达2024年度市场监管行业标准制订计划项目的通知，本标准正式立项，立项计划号为</w:t>
            </w:r>
            <w:r>
              <w:rPr>
                <w:rFonts w:ascii="宋体" w:hAnsi="宋体" w:eastAsia="宋体" w:cs="宋体"/>
                <w:sz w:val="21"/>
                <w:szCs w:val="21"/>
              </w:rPr>
              <w:t>2024MR001</w:t>
            </w:r>
            <w:r>
              <w:rPr>
                <w:rFonts w:hint="eastAsia" w:ascii="宋体" w:hAnsi="宋体" w:eastAsia="宋体" w:cs="宋体"/>
                <w:sz w:val="21"/>
                <w:szCs w:val="21"/>
                <w:lang w:val="en-US" w:eastAsia="zh-CN"/>
              </w:rPr>
              <w:t>7</w:t>
            </w:r>
            <w:r>
              <w:rPr>
                <w:rFonts w:hint="eastAsia" w:ascii="宋体" w:hAnsi="宋体" w:eastAsia="宋体" w:cs="宋体"/>
                <w:sz w:val="21"/>
                <w:szCs w:val="21"/>
              </w:rPr>
              <w:t>。2025年4月，成立了由</w:t>
            </w:r>
            <w:r>
              <w:rPr>
                <w:rFonts w:hint="eastAsia" w:ascii="宋体" w:hAnsi="宋体" w:eastAsia="宋体" w:cs="宋体"/>
                <w:sz w:val="21"/>
                <w:szCs w:val="21"/>
                <w:lang w:eastAsia="zh-CN"/>
              </w:rPr>
              <w:t>国家</w:t>
            </w:r>
            <w:r>
              <w:rPr>
                <w:rFonts w:hint="eastAsia" w:ascii="宋体" w:hAnsi="宋体" w:eastAsia="宋体" w:cs="宋体"/>
                <w:sz w:val="21"/>
                <w:szCs w:val="21"/>
              </w:rPr>
              <w:t>市场</w:t>
            </w:r>
            <w:r>
              <w:rPr>
                <w:rFonts w:hint="eastAsia" w:ascii="宋体" w:hAnsi="宋体" w:eastAsia="宋体" w:cs="宋体"/>
                <w:sz w:val="21"/>
                <w:szCs w:val="21"/>
                <w:lang w:eastAsia="zh-CN"/>
              </w:rPr>
              <w:t>监督</w:t>
            </w:r>
            <w:r>
              <w:rPr>
                <w:rFonts w:hint="eastAsia" w:ascii="宋体" w:hAnsi="宋体" w:eastAsia="宋体" w:cs="宋体"/>
                <w:sz w:val="21"/>
                <w:szCs w:val="21"/>
              </w:rPr>
              <w:t>管</w:t>
            </w:r>
            <w:r>
              <w:rPr>
                <w:rFonts w:hint="eastAsia" w:ascii="宋体" w:hAnsi="宋体" w:eastAsia="宋体" w:cs="宋体"/>
                <w:sz w:val="21"/>
                <w:szCs w:val="21"/>
                <w:lang w:eastAsia="zh-CN"/>
              </w:rPr>
              <w:t>理</w:t>
            </w:r>
            <w:r>
              <w:rPr>
                <w:rFonts w:hint="eastAsia" w:ascii="宋体" w:hAnsi="宋体" w:eastAsia="宋体" w:cs="宋体"/>
                <w:sz w:val="21"/>
                <w:szCs w:val="21"/>
              </w:rPr>
              <w:t>总局食品生产经营安全监督管理司牵头，中国网络安全审查认证和市场监管大数据中心</w:t>
            </w:r>
            <w:r>
              <w:rPr>
                <w:rFonts w:hint="eastAsia" w:ascii="宋体" w:hAnsi="宋体" w:eastAsia="宋体" w:cs="宋体"/>
                <w:sz w:val="21"/>
                <w:szCs w:val="21"/>
                <w:lang w:eastAsia="zh-CN"/>
              </w:rPr>
              <w:t>、</w:t>
            </w:r>
            <w:r>
              <w:rPr>
                <w:rFonts w:hint="eastAsia" w:ascii="宋体" w:hAnsi="宋体" w:eastAsia="宋体" w:cs="宋体"/>
                <w:sz w:val="21"/>
                <w:szCs w:val="21"/>
              </w:rPr>
              <w:t>中国标准化研究院、四川省市场监督管理局数据应用中心</w:t>
            </w:r>
            <w:r>
              <w:rPr>
                <w:rFonts w:hint="eastAsia" w:ascii="宋体" w:hAnsi="宋体" w:eastAsia="宋体" w:cs="宋体"/>
                <w:sz w:val="21"/>
                <w:szCs w:val="21"/>
                <w:lang w:eastAsia="zh-CN"/>
              </w:rPr>
              <w:t>共</w:t>
            </w:r>
            <w:r>
              <w:rPr>
                <w:rFonts w:hint="eastAsia" w:ascii="宋体" w:hAnsi="宋体" w:eastAsia="宋体" w:cs="宋体"/>
                <w:sz w:val="21"/>
                <w:szCs w:val="21"/>
                <w:lang w:val="en-US" w:eastAsia="zh-CN"/>
              </w:rPr>
              <w:t>4</w:t>
            </w:r>
            <w:r>
              <w:rPr>
                <w:rFonts w:hint="eastAsia" w:ascii="宋体" w:hAnsi="宋体" w:eastAsia="宋体" w:cs="宋体"/>
                <w:sz w:val="21"/>
                <w:szCs w:val="21"/>
              </w:rPr>
              <w:t>家单位共同组成的标准起草组，</w:t>
            </w:r>
            <w:r>
              <w:rPr>
                <w:rFonts w:hint="eastAsia" w:ascii="宋体" w:hAnsi="宋体" w:eastAsia="宋体" w:cs="宋体"/>
                <w:sz w:val="21"/>
                <w:szCs w:val="21"/>
                <w:lang w:eastAsia="zh-CN"/>
              </w:rPr>
              <w:t>并</w:t>
            </w:r>
            <w:r>
              <w:rPr>
                <w:rFonts w:hint="eastAsia" w:ascii="宋体" w:hAnsi="宋体" w:eastAsia="宋体" w:cs="宋体"/>
                <w:sz w:val="21"/>
                <w:szCs w:val="21"/>
              </w:rPr>
              <w:t>根据各参与单位及起草组成员的前期基础研究、专业特长和标准制定经验向起草组成员分配了工作任务，标准起草工作正式启动。具体分工如下：</w:t>
            </w:r>
          </w:p>
          <w:tbl>
            <w:tblPr>
              <w:tblStyle w:val="5"/>
              <w:tblW w:w="4343" w:type="pct"/>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784"/>
              <w:gridCol w:w="3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703" w:type="pct"/>
                  <w:gridSpan w:val="2"/>
                </w:tcPr>
                <w:p>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单位名称</w:t>
                  </w:r>
                </w:p>
              </w:tc>
              <w:tc>
                <w:tcPr>
                  <w:tcW w:w="2296" w:type="pct"/>
                </w:tcPr>
                <w:p>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任务分工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pct"/>
                  <w:vAlign w:val="center"/>
                </w:tcPr>
                <w:p>
                  <w:pPr>
                    <w:spacing w:line="360" w:lineRule="exact"/>
                    <w:rPr>
                      <w:rFonts w:hint="eastAsia" w:ascii="宋体" w:hAnsi="宋体" w:eastAsia="宋体" w:cs="宋体"/>
                      <w:sz w:val="21"/>
                      <w:szCs w:val="21"/>
                    </w:rPr>
                  </w:pPr>
                  <w:bookmarkStart w:id="1" w:name="OLE_LINK1" w:colFirst="3" w:colLast="3"/>
                  <w:r>
                    <w:rPr>
                      <w:rFonts w:hint="eastAsia" w:ascii="宋体" w:hAnsi="宋体" w:eastAsia="宋体" w:cs="宋体"/>
                      <w:sz w:val="21"/>
                      <w:szCs w:val="21"/>
                    </w:rPr>
                    <w:t>组长单</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位</w:t>
                  </w: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lang w:eastAsia="zh-CN"/>
                    </w:rPr>
                    <w:t>国家</w:t>
                  </w:r>
                  <w:r>
                    <w:rPr>
                      <w:rFonts w:hint="eastAsia" w:ascii="宋体" w:hAnsi="宋体" w:eastAsia="宋体" w:cs="宋体"/>
                      <w:sz w:val="21"/>
                      <w:szCs w:val="21"/>
                    </w:rPr>
                    <w:t>市场</w:t>
                  </w:r>
                  <w:r>
                    <w:rPr>
                      <w:rFonts w:hint="eastAsia" w:ascii="宋体" w:hAnsi="宋体" w:eastAsia="宋体" w:cs="宋体"/>
                      <w:sz w:val="21"/>
                      <w:szCs w:val="21"/>
                      <w:lang w:eastAsia="zh-CN"/>
                    </w:rPr>
                    <w:t>监督</w:t>
                  </w:r>
                  <w:r>
                    <w:rPr>
                      <w:rFonts w:hint="eastAsia" w:ascii="宋体" w:hAnsi="宋体" w:eastAsia="宋体" w:cs="宋体"/>
                      <w:sz w:val="21"/>
                      <w:szCs w:val="21"/>
                    </w:rPr>
                    <w:t>管</w:t>
                  </w:r>
                  <w:r>
                    <w:rPr>
                      <w:rFonts w:hint="eastAsia" w:ascii="宋体" w:hAnsi="宋体" w:eastAsia="宋体" w:cs="宋体"/>
                      <w:sz w:val="21"/>
                      <w:szCs w:val="21"/>
                      <w:lang w:eastAsia="zh-CN"/>
                    </w:rPr>
                    <w:t>理</w:t>
                  </w:r>
                  <w:r>
                    <w:rPr>
                      <w:rFonts w:hint="eastAsia" w:ascii="宋体" w:hAnsi="宋体" w:eastAsia="宋体" w:cs="宋体"/>
                      <w:sz w:val="21"/>
                      <w:szCs w:val="21"/>
                    </w:rPr>
                    <w:t>总局食品生产经营安全监督管理司</w:t>
                  </w:r>
                </w:p>
              </w:tc>
              <w:tc>
                <w:tcPr>
                  <w:tcW w:w="2296" w:type="pct"/>
                  <w:vAlign w:val="center"/>
                </w:tcPr>
                <w:p>
                  <w:pPr>
                    <w:spacing w:line="360" w:lineRule="exact"/>
                    <w:jc w:val="both"/>
                    <w:rPr>
                      <w:rFonts w:hint="eastAsia" w:ascii="宋体" w:hAnsi="宋体" w:eastAsia="宋体" w:cs="宋体"/>
                      <w:sz w:val="21"/>
                      <w:szCs w:val="21"/>
                      <w:lang w:eastAsia="zh-CN"/>
                    </w:rPr>
                  </w:pPr>
                  <w:r>
                    <w:rPr>
                      <w:rFonts w:hint="eastAsia" w:ascii="宋体" w:hAnsi="宋体" w:eastAsia="宋体" w:cs="宋体"/>
                      <w:sz w:val="21"/>
                      <w:szCs w:val="21"/>
                    </w:rPr>
                    <w:t>负责标准整体设计</w:t>
                  </w:r>
                  <w:r>
                    <w:rPr>
                      <w:rFonts w:hint="eastAsia" w:ascii="宋体" w:hAnsi="宋体" w:eastAsia="宋体" w:cs="宋体"/>
                      <w:sz w:val="21"/>
                      <w:szCs w:val="21"/>
                      <w:lang w:eastAsia="zh-CN"/>
                    </w:rPr>
                    <w:t>和工作统筹组织</w:t>
                  </w:r>
                </w:p>
              </w:tc>
            </w:tr>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pct"/>
                  <w:vMerge w:val="restar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成员单位</w:t>
                  </w: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中国网络安全审查认证和市场监管大数据中心</w:t>
                  </w:r>
                </w:p>
              </w:tc>
              <w:tc>
                <w:tcPr>
                  <w:tcW w:w="2296" w:type="pct"/>
                </w:tcPr>
                <w:p>
                  <w:pP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负责</w:t>
                  </w:r>
                  <w:r>
                    <w:rPr>
                      <w:rFonts w:hint="eastAsia" w:ascii="宋体" w:hAnsi="宋体" w:eastAsia="宋体" w:cs="宋体"/>
                      <w:sz w:val="21"/>
                      <w:szCs w:val="21"/>
                    </w:rPr>
                    <w:t>标准</w:t>
                  </w:r>
                  <w:r>
                    <w:rPr>
                      <w:rFonts w:hint="eastAsia" w:ascii="宋体" w:hAnsi="宋体" w:eastAsia="宋体" w:cs="宋体"/>
                      <w:sz w:val="21"/>
                      <w:szCs w:val="21"/>
                      <w:lang w:eastAsia="zh-CN"/>
                    </w:rPr>
                    <w:t>具体</w:t>
                  </w:r>
                  <w:r>
                    <w:rPr>
                      <w:rFonts w:hint="eastAsia" w:ascii="宋体" w:hAnsi="宋体" w:eastAsia="宋体" w:cs="宋体"/>
                      <w:sz w:val="21"/>
                      <w:szCs w:val="21"/>
                    </w:rPr>
                    <w:t>制定全过程</w:t>
                  </w:r>
                  <w:r>
                    <w:rPr>
                      <w:rFonts w:hint="default" w:ascii="宋体" w:hAnsi="宋体" w:eastAsia="宋体" w:cs="宋体"/>
                      <w:sz w:val="21"/>
                      <w:szCs w:val="21"/>
                      <w:lang w:val="en-US"/>
                    </w:rPr>
                    <w:t>,</w:t>
                  </w:r>
                  <w:r>
                    <w:rPr>
                      <w:rFonts w:hint="eastAsia" w:ascii="宋体" w:hAnsi="宋体" w:eastAsia="宋体" w:cs="宋体"/>
                      <w:sz w:val="21"/>
                      <w:szCs w:val="21"/>
                      <w:lang w:val="en-US" w:eastAsia="zh-CN"/>
                    </w:rPr>
                    <w:t>包含</w:t>
                  </w:r>
                  <w:r>
                    <w:rPr>
                      <w:rFonts w:hint="eastAsia" w:ascii="宋体" w:hAnsi="宋体" w:eastAsia="宋体" w:cs="宋体"/>
                      <w:sz w:val="21"/>
                      <w:szCs w:val="21"/>
                    </w:rPr>
                    <w:t>的整体格式框架确认、信息模型、指标体系以及代码表的编制</w:t>
                  </w:r>
                  <w:r>
                    <w:rPr>
                      <w:rFonts w:hint="eastAsia" w:ascii="宋体" w:hAnsi="宋体" w:eastAsia="宋体" w:cs="宋体"/>
                      <w:sz w:val="21"/>
                      <w:szCs w:val="21"/>
                      <w:lang w:eastAsia="zh-CN"/>
                    </w:rPr>
                    <w:t>以及相关程序性工作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pct"/>
                  <w:vMerge w:val="continue"/>
                  <w:vAlign w:val="center"/>
                </w:tcPr>
                <w:p>
                  <w:pPr>
                    <w:spacing w:line="360" w:lineRule="exact"/>
                    <w:rPr>
                      <w:rFonts w:ascii="宋体" w:hAnsi="宋体" w:eastAsia="宋体" w:cs="宋体"/>
                      <w:sz w:val="21"/>
                      <w:szCs w:val="21"/>
                    </w:rPr>
                  </w:pP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中国标准化研究院</w:t>
                  </w:r>
                </w:p>
              </w:tc>
              <w:tc>
                <w:tcPr>
                  <w:tcW w:w="2296"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重点参与指标体系以及代码的编制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pct"/>
                  <w:vMerge w:val="continue"/>
                  <w:vAlign w:val="center"/>
                </w:tcPr>
                <w:p>
                  <w:pPr>
                    <w:spacing w:line="360" w:lineRule="exact"/>
                    <w:rPr>
                      <w:rFonts w:ascii="宋体" w:hAnsi="宋体" w:eastAsia="宋体" w:cs="宋体"/>
                      <w:sz w:val="21"/>
                      <w:szCs w:val="21"/>
                    </w:rPr>
                  </w:pPr>
                </w:p>
              </w:tc>
              <w:tc>
                <w:tcPr>
                  <w:tcW w:w="2122" w:type="pct"/>
                  <w:vAlign w:val="center"/>
                </w:tcPr>
                <w:p>
                  <w:pPr>
                    <w:rPr>
                      <w:rFonts w:ascii="宋体" w:hAnsi="宋体" w:eastAsia="宋体" w:cs="宋体"/>
                      <w:sz w:val="21"/>
                      <w:szCs w:val="21"/>
                    </w:rPr>
                  </w:pPr>
                  <w:r>
                    <w:rPr>
                      <w:rFonts w:hint="eastAsia" w:ascii="宋体" w:hAnsi="宋体" w:eastAsia="宋体" w:cs="宋体"/>
                      <w:sz w:val="21"/>
                      <w:szCs w:val="21"/>
                    </w:rPr>
                    <w:t>四川省市场监督管理局数据应用中心</w:t>
                  </w:r>
                </w:p>
              </w:tc>
              <w:tc>
                <w:tcPr>
                  <w:tcW w:w="2296"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重点参与前言及1范围内容、术语和定义等</w:t>
                  </w:r>
                </w:p>
              </w:tc>
            </w:tr>
          </w:tbl>
          <w:p>
            <w:pPr>
              <w:spacing w:line="360" w:lineRule="exact"/>
              <w:rPr>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604"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3.2 起草阶段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hint="eastAsia" w:cs="等线" w:asciiTheme="majorEastAsia" w:hAnsiTheme="majorEastAsia" w:eastAsiaTheme="majorEastAsia"/>
                <w:color w:val="000000"/>
                <w:sz w:val="21"/>
                <w:szCs w:val="21"/>
              </w:rPr>
            </w:pPr>
            <w:r>
              <w:rPr>
                <w:rFonts w:hint="eastAsia" w:cs="等线" w:asciiTheme="majorEastAsia" w:hAnsiTheme="majorEastAsia" w:eastAsiaTheme="majorEastAsia"/>
                <w:color w:val="000000"/>
                <w:sz w:val="21"/>
                <w:szCs w:val="21"/>
              </w:rPr>
              <w:t>食品生产许可数据规范已于2021年征求各省局意见，结合各省意见对数据规范进行了修改完善，并于2021年以《市场监管总局办公厅关于加强食品生产许可数据信息归集工作的通知》（市监食生发[2021]1691号）正式发布组织实施，各省按此数据规范持续向总局报送数据，此数据规范已稳定运行多年。</w:t>
            </w:r>
          </w:p>
          <w:p>
            <w:pPr>
              <w:spacing w:line="360" w:lineRule="exact"/>
              <w:ind w:firstLine="420" w:firstLineChars="200"/>
              <w:rPr>
                <w:rFonts w:cs="等线" w:asciiTheme="majorEastAsia" w:hAnsiTheme="majorEastAsia" w:eastAsiaTheme="majorEastAsia"/>
                <w:color w:val="000000"/>
                <w:sz w:val="21"/>
                <w:szCs w:val="21"/>
              </w:rPr>
            </w:pPr>
            <w:r>
              <w:rPr>
                <w:rFonts w:hint="eastAsia" w:cs="等线" w:asciiTheme="majorEastAsia" w:hAnsiTheme="majorEastAsia" w:eastAsiaTheme="majorEastAsia"/>
                <w:color w:val="000000"/>
                <w:sz w:val="21"/>
                <w:szCs w:val="21"/>
              </w:rPr>
              <w:t>标准起草过程，起草组结合前期的工作基础和成熟研究，多次召开了组内标准编制讨论会，进行了大调研、资料分析梳理，并以不同形式征询了来自各标准相关方的意见，对标准立项草案、讨论稿反复修改、完善和提升，对意见进行了汇总、整理和吸收完善，于202</w:t>
            </w:r>
            <w:r>
              <w:rPr>
                <w:rFonts w:hint="eastAsia" w:cs="等线" w:asciiTheme="majorEastAsia" w:hAnsiTheme="majorEastAsia" w:eastAsiaTheme="majorEastAsia"/>
                <w:color w:val="000000"/>
                <w:sz w:val="21"/>
                <w:szCs w:val="21"/>
                <w:lang w:val="en-US" w:eastAsia="zh-CN"/>
              </w:rPr>
              <w:t>6</w:t>
            </w:r>
            <w:r>
              <w:rPr>
                <w:rFonts w:hint="eastAsia" w:cs="等线" w:asciiTheme="majorEastAsia" w:hAnsiTheme="majorEastAsia" w:eastAsiaTheme="majorEastAsia"/>
                <w:color w:val="000000"/>
                <w:sz w:val="21"/>
                <w:szCs w:val="21"/>
              </w:rPr>
              <w:t>年</w:t>
            </w:r>
            <w:r>
              <w:rPr>
                <w:rFonts w:hint="eastAsia" w:cs="等线" w:asciiTheme="majorEastAsia" w:hAnsiTheme="majorEastAsia" w:eastAsiaTheme="majorEastAsia"/>
                <w:color w:val="000000"/>
                <w:sz w:val="21"/>
                <w:szCs w:val="21"/>
                <w:lang w:val="en-US" w:eastAsia="zh-CN"/>
              </w:rPr>
              <w:t>3</w:t>
            </w:r>
            <w:r>
              <w:rPr>
                <w:rFonts w:hint="eastAsia" w:cs="等线" w:asciiTheme="majorEastAsia" w:hAnsiTheme="majorEastAsia" w:eastAsiaTheme="majorEastAsia"/>
                <w:color w:val="000000"/>
                <w:sz w:val="21"/>
                <w:szCs w:val="21"/>
              </w:rPr>
              <w:t>月形成了标准征求意见稿。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7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3.3 征求意见阶段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bookmarkStart w:id="4" w:name="_GoBack"/>
            <w:bookmarkEnd w:id="4"/>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66"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3.4标准审查阶段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4、主要技术内容的确定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5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本标准规定了市场监督管理中食品生产许可业务的信息模型和指标体系，包括指标项的名称、字段名、数据类型及格式、值域、计量单位及备注信息。</w:t>
            </w:r>
          </w:p>
          <w:p>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本标准适用于规范食品生产许可业务系统的开发建设，以及相关业务信息的采集、处理、交换与共享。其中主要技术内容：</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信息模型</w:t>
            </w:r>
            <w:r>
              <w:rPr>
                <w:rFonts w:hint="eastAsia" w:eastAsia="等线" w:cs="等线"/>
                <w:color w:val="000000"/>
                <w:sz w:val="21"/>
                <w:szCs w:val="21"/>
                <w:lang w:eastAsia="zh-CN"/>
              </w:rPr>
              <w:t>：</w:t>
            </w:r>
            <w:r>
              <w:rPr>
                <w:rFonts w:hint="eastAsia" w:eastAsia="等线" w:cs="等线"/>
                <w:color w:val="000000"/>
                <w:sz w:val="21"/>
                <w:szCs w:val="21"/>
              </w:rPr>
              <w:t>总体结构</w:t>
            </w:r>
            <w:r>
              <w:rPr>
                <w:rFonts w:hint="eastAsia" w:eastAsia="等线" w:cs="等线"/>
                <w:color w:val="000000"/>
                <w:sz w:val="21"/>
                <w:szCs w:val="21"/>
                <w:lang w:eastAsia="zh-CN"/>
              </w:rPr>
              <w:t>、</w:t>
            </w:r>
            <w:r>
              <w:rPr>
                <w:rFonts w:hint="eastAsia" w:eastAsia="等线" w:cs="等线"/>
                <w:color w:val="000000"/>
                <w:sz w:val="21"/>
                <w:szCs w:val="21"/>
              </w:rPr>
              <w:t>信息模型符号及说明</w:t>
            </w:r>
            <w:r>
              <w:rPr>
                <w:rFonts w:hint="eastAsia" w:eastAsia="等线" w:cs="等线"/>
                <w:color w:val="000000"/>
                <w:sz w:val="21"/>
                <w:szCs w:val="21"/>
                <w:lang w:eastAsia="zh-CN"/>
              </w:rPr>
              <w:t>、</w:t>
            </w:r>
            <w:r>
              <w:rPr>
                <w:rFonts w:hint="eastAsia" w:eastAsia="等线" w:cs="等线"/>
                <w:color w:val="000000"/>
                <w:sz w:val="21"/>
                <w:szCs w:val="21"/>
              </w:rPr>
              <w:t>信息模型</w:t>
            </w:r>
            <w:r>
              <w:rPr>
                <w:rFonts w:hint="eastAsia" w:eastAsia="等线" w:cs="等线"/>
                <w:color w:val="000000"/>
                <w:sz w:val="21"/>
                <w:szCs w:val="21"/>
              </w:rPr>
              <w:tab/>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食品生产许可证信息指标体系</w:t>
            </w:r>
            <w:r>
              <w:rPr>
                <w:rFonts w:hint="eastAsia" w:eastAsia="等线" w:cs="等线"/>
                <w:color w:val="000000"/>
                <w:sz w:val="21"/>
                <w:szCs w:val="21"/>
                <w:lang w:eastAsia="zh-CN"/>
              </w:rPr>
              <w:t>：</w:t>
            </w:r>
            <w:bookmarkStart w:id="2" w:name="_Toc12834"/>
            <w:r>
              <w:rPr>
                <w:rFonts w:hint="eastAsia" w:eastAsia="等线" w:cs="等线"/>
                <w:color w:val="000000"/>
                <w:sz w:val="21"/>
                <w:szCs w:val="21"/>
              </w:rPr>
              <w:t>食品生产许可证信息数据项</w:t>
            </w:r>
            <w:bookmarkEnd w:id="2"/>
            <w:bookmarkStart w:id="3" w:name="_Toc28839"/>
            <w:r>
              <w:rPr>
                <w:rFonts w:hint="eastAsia" w:eastAsia="等线" w:cs="等线"/>
                <w:color w:val="000000"/>
                <w:sz w:val="21"/>
                <w:szCs w:val="21"/>
                <w:lang w:eastAsia="zh-CN"/>
              </w:rPr>
              <w:t>、</w:t>
            </w:r>
            <w:r>
              <w:rPr>
                <w:rFonts w:hint="eastAsia" w:eastAsia="等线" w:cs="等线"/>
                <w:color w:val="000000"/>
                <w:sz w:val="21"/>
                <w:szCs w:val="21"/>
              </w:rPr>
              <w:t>食品生产许可证品种明细信息数据项</w:t>
            </w:r>
            <w:bookmarkEnd w:id="3"/>
            <w:r>
              <w:rPr>
                <w:rFonts w:hint="eastAsia" w:eastAsia="等线" w:cs="等线"/>
                <w:color w:val="000000"/>
                <w:sz w:val="21"/>
                <w:szCs w:val="21"/>
              </w:rPr>
              <w:tab/>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指标项属性及命名规则</w:t>
            </w:r>
            <w:r>
              <w:rPr>
                <w:rFonts w:hint="eastAsia" w:eastAsia="等线" w:cs="等线"/>
                <w:color w:val="000000"/>
                <w:sz w:val="21"/>
                <w:szCs w:val="21"/>
                <w:lang w:eastAsia="zh-CN"/>
              </w:rPr>
              <w:t>：</w:t>
            </w:r>
            <w:r>
              <w:rPr>
                <w:rFonts w:hint="eastAsia" w:eastAsia="等线" w:cs="等线"/>
                <w:color w:val="000000"/>
                <w:sz w:val="21"/>
                <w:szCs w:val="21"/>
              </w:rPr>
              <w:t>指标项描述属性</w:t>
            </w:r>
            <w:r>
              <w:rPr>
                <w:rFonts w:hint="eastAsia" w:eastAsia="等线" w:cs="等线"/>
                <w:color w:val="000000"/>
                <w:sz w:val="21"/>
                <w:szCs w:val="21"/>
                <w:lang w:eastAsia="zh-CN"/>
              </w:rPr>
              <w:t>、</w:t>
            </w:r>
            <w:r>
              <w:rPr>
                <w:rFonts w:hint="eastAsia" w:eastAsia="等线" w:cs="等线"/>
                <w:color w:val="000000"/>
                <w:sz w:val="21"/>
                <w:szCs w:val="21"/>
              </w:rPr>
              <w:t>指标项名称命名规则</w:t>
            </w:r>
            <w:r>
              <w:rPr>
                <w:rFonts w:hint="eastAsia" w:eastAsia="等线" w:cs="等线"/>
                <w:color w:val="000000"/>
                <w:sz w:val="21"/>
                <w:szCs w:val="21"/>
                <w:lang w:eastAsia="zh-CN"/>
              </w:rPr>
              <w:t>、</w:t>
            </w:r>
            <w:r>
              <w:rPr>
                <w:rFonts w:hint="eastAsia" w:eastAsia="等线" w:cs="等线"/>
                <w:color w:val="000000"/>
                <w:sz w:val="21"/>
                <w:szCs w:val="21"/>
              </w:rPr>
              <w:t>字段名命名规则</w:t>
            </w:r>
            <w:r>
              <w:rPr>
                <w:rFonts w:hint="eastAsia" w:eastAsia="等线" w:cs="等线"/>
                <w:color w:val="000000"/>
                <w:sz w:val="21"/>
                <w:szCs w:val="21"/>
                <w:lang w:eastAsia="zh-CN"/>
              </w:rPr>
              <w:t>、</w:t>
            </w:r>
            <w:r>
              <w:rPr>
                <w:rFonts w:hint="eastAsia" w:eastAsia="等线" w:cs="等线"/>
                <w:color w:val="000000"/>
                <w:sz w:val="21"/>
                <w:szCs w:val="21"/>
              </w:rPr>
              <w:t>数据类型及格式的表示方法</w:t>
            </w:r>
          </w:p>
          <w:p>
            <w:pPr>
              <w:spacing w:line="360" w:lineRule="exact"/>
              <w:ind w:firstLine="420" w:firstLineChars="200"/>
              <w:rPr>
                <w:rFonts w:asciiTheme="majorEastAsia" w:hAnsiTheme="majorEastAsia" w:eastAsiaTheme="majorEastAsia"/>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5、验证情况（适用时填写）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6" w:hRule="atLeast"/>
        </w:trPr>
        <w:tc>
          <w:tcPr>
            <w:tcW w:w="1773" w:type="dxa"/>
            <w:vMerge w:val="restart"/>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5.1 验证单位情况</w:t>
            </w: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验证单位</w:t>
            </w: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验证人员</w:t>
            </w: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2"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2"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4"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0"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5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5.2 验证过程</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10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5.3 验证数据分析</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1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5.4 验证评价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6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5.5 其他应说明的情况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6、附加说明（可选）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5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6.1 宣贯标准的</w:t>
            </w:r>
          </w:p>
          <w:p>
            <w:pPr>
              <w:jc w:val="center"/>
              <w:rPr>
                <w:rFonts w:eastAsia="等线" w:cs="等线"/>
                <w:color w:val="000000"/>
                <w:sz w:val="21"/>
                <w:szCs w:val="21"/>
              </w:rPr>
            </w:pPr>
            <w:r>
              <w:rPr>
                <w:rFonts w:hint="eastAsia" w:eastAsia="等线" w:cs="等线"/>
                <w:color w:val="000000"/>
                <w:sz w:val="21"/>
                <w:szCs w:val="21"/>
              </w:rPr>
              <w:t>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6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6.2 修订和废除现行有关标准的建议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2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w:t>
            </w:r>
            <w:r>
              <w:rPr>
                <w:rFonts w:eastAsia="等线" w:cs="等线"/>
                <w:color w:val="000000"/>
                <w:sz w:val="21"/>
                <w:szCs w:val="21"/>
              </w:rPr>
              <w:t xml:space="preserve">.3 </w:t>
            </w:r>
            <w:r>
              <w:rPr>
                <w:rFonts w:hint="eastAsia" w:eastAsia="等线" w:cs="等线"/>
                <w:color w:val="000000"/>
                <w:sz w:val="21"/>
                <w:szCs w:val="21"/>
              </w:rPr>
              <w:t>作为强制性标准或推荐性标准的建议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8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6.4 其他需要说明的情况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8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6.5 参考文献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联系人</w:t>
            </w:r>
          </w:p>
        </w:tc>
        <w:tc>
          <w:tcPr>
            <w:tcW w:w="1346" w:type="dxa"/>
            <w:tcBorders>
              <w:top w:val="single" w:color="auto" w:sz="6" w:space="0"/>
              <w:left w:val="single" w:color="auto" w:sz="4" w:space="0"/>
              <w:bottom w:val="single" w:color="auto" w:sz="6" w:space="0"/>
              <w:right w:val="single" w:color="auto" w:sz="4" w:space="0"/>
            </w:tcBorders>
            <w:vAlign w:val="center"/>
          </w:tcPr>
          <w:p>
            <w:pPr>
              <w:jc w:val="center"/>
              <w:rPr>
                <w:rFonts w:hint="eastAsia" w:eastAsia="等线" w:cs="等线"/>
                <w:color w:val="000000"/>
                <w:sz w:val="21"/>
                <w:szCs w:val="21"/>
                <w:lang w:eastAsia="zh-CN"/>
              </w:rPr>
            </w:pPr>
            <w:r>
              <w:rPr>
                <w:rFonts w:hint="eastAsia" w:eastAsia="等线" w:cs="等线"/>
                <w:color w:val="000000"/>
                <w:sz w:val="21"/>
                <w:szCs w:val="21"/>
              </w:rPr>
              <w:t>张先芝</w:t>
            </w:r>
          </w:p>
        </w:tc>
        <w:tc>
          <w:tcPr>
            <w:tcW w:w="138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联系电话</w:t>
            </w:r>
          </w:p>
        </w:tc>
        <w:tc>
          <w:tcPr>
            <w:tcW w:w="1646" w:type="dxa"/>
            <w:gridSpan w:val="3"/>
            <w:tcBorders>
              <w:top w:val="single" w:color="auto" w:sz="6" w:space="0"/>
              <w:left w:val="single" w:color="auto" w:sz="4" w:space="0"/>
              <w:bottom w:val="single" w:color="auto" w:sz="6" w:space="0"/>
              <w:right w:val="single" w:color="auto" w:sz="4" w:space="0"/>
            </w:tcBorders>
            <w:vAlign w:val="center"/>
          </w:tcPr>
          <w:p>
            <w:pPr>
              <w:jc w:val="center"/>
              <w:rPr>
                <w:rFonts w:hint="default" w:eastAsia="等线" w:cs="等线"/>
                <w:color w:val="000000"/>
                <w:sz w:val="21"/>
                <w:szCs w:val="21"/>
                <w:lang w:val="en-US" w:eastAsia="zh-CN"/>
              </w:rPr>
            </w:pPr>
            <w:r>
              <w:rPr>
                <w:rFonts w:hint="eastAsia" w:eastAsia="等线" w:cs="等线"/>
                <w:color w:val="000000"/>
                <w:sz w:val="21"/>
                <w:szCs w:val="21"/>
              </w:rPr>
              <w:t>010-8</w:t>
            </w:r>
            <w:r>
              <w:rPr>
                <w:rFonts w:hint="eastAsia" w:eastAsia="等线" w:cs="等线"/>
                <w:color w:val="000000"/>
                <w:sz w:val="21"/>
                <w:szCs w:val="21"/>
                <w:lang w:val="en-US" w:eastAsia="zh-CN"/>
              </w:rPr>
              <w:t>2261648</w:t>
            </w:r>
          </w:p>
        </w:tc>
        <w:tc>
          <w:tcPr>
            <w:tcW w:w="132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电子邮箱</w:t>
            </w:r>
          </w:p>
        </w:tc>
        <w:tc>
          <w:tcPr>
            <w:tcW w:w="1907" w:type="dxa"/>
            <w:tcBorders>
              <w:top w:val="single" w:color="auto" w:sz="6" w:space="0"/>
              <w:left w:val="single" w:color="auto" w:sz="4" w:space="0"/>
              <w:bottom w:val="single" w:color="auto" w:sz="6" w:space="0"/>
              <w:right w:val="single" w:color="auto" w:sz="4" w:space="0"/>
            </w:tcBorders>
            <w:vAlign w:val="center"/>
          </w:tcPr>
          <w:p>
            <w:pPr>
              <w:jc w:val="both"/>
              <w:rPr>
                <w:rFonts w:eastAsia="等线" w:cs="等线"/>
                <w:color w:val="000000"/>
                <w:sz w:val="21"/>
                <w:szCs w:val="21"/>
              </w:rPr>
            </w:pPr>
            <w:r>
              <w:rPr>
                <w:rFonts w:ascii="宋体" w:hAnsi="宋体" w:eastAsia="宋体" w:cs="宋体"/>
                <w:kern w:val="0"/>
                <w:sz w:val="21"/>
                <w:szCs w:val="21"/>
              </w:rPr>
              <w:t>zhangxianzhi@samr</w:t>
            </w:r>
            <w:r>
              <w:rPr>
                <w:rFonts w:hint="eastAsia" w:ascii="宋体" w:hAnsi="宋体" w:eastAsia="宋体" w:cs="宋体"/>
                <w:kern w:val="0"/>
                <w:sz w:val="21"/>
                <w:szCs w:val="21"/>
              </w:rPr>
              <w:t>.gov.cn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22"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adjustRightInd w:val="0"/>
              <w:spacing w:before="60" w:line="360" w:lineRule="auto"/>
              <w:ind w:firstLine="440" w:firstLineChars="210"/>
              <w:rPr>
                <w:rFonts w:eastAsia="等线" w:cs="等线"/>
                <w:color w:val="000000"/>
                <w:sz w:val="21"/>
                <w:szCs w:val="21"/>
              </w:rPr>
            </w:pPr>
            <w:r>
              <w:rPr>
                <w:rFonts w:hint="eastAsia" w:eastAsia="等线" w:cs="等线"/>
                <w:color w:val="000000"/>
                <w:sz w:val="21"/>
                <w:szCs w:val="21"/>
              </w:rPr>
              <w:t>注：1</w:t>
            </w:r>
            <w:r>
              <w:rPr>
                <w:rFonts w:eastAsia="等线" w:cs="等线"/>
                <w:color w:val="000000"/>
                <w:sz w:val="21"/>
                <w:szCs w:val="21"/>
              </w:rPr>
              <w:t>.</w:t>
            </w:r>
            <w:r>
              <w:rPr>
                <w:rFonts w:hint="eastAsia" w:eastAsia="等线" w:cs="等线"/>
                <w:color w:val="000000"/>
                <w:sz w:val="21"/>
                <w:szCs w:val="21"/>
              </w:rPr>
              <w:t>本格式的通用部分为第1章、第2章、第4章和第6章。</w:t>
            </w:r>
          </w:p>
          <w:p>
            <w:pPr>
              <w:ind w:firstLine="840" w:firstLineChars="400"/>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w:t>
            </w:r>
            <w:r>
              <w:rPr>
                <w:rFonts w:hint="eastAsia" w:eastAsia="等线" w:cs="等线"/>
                <w:color w:val="000000"/>
                <w:sz w:val="21"/>
                <w:szCs w:val="21"/>
              </w:rPr>
              <w:t>第</w:t>
            </w:r>
            <w:r>
              <w:rPr>
                <w:rFonts w:eastAsia="等线" w:cs="等线"/>
                <w:color w:val="000000"/>
                <w:sz w:val="21"/>
                <w:szCs w:val="21"/>
              </w:rPr>
              <w:t>5</w:t>
            </w:r>
            <w:r>
              <w:rPr>
                <w:rFonts w:hint="eastAsia" w:eastAsia="等线" w:cs="等线"/>
                <w:color w:val="000000"/>
                <w:sz w:val="21"/>
                <w:szCs w:val="21"/>
              </w:rPr>
              <w:t>章和第6章为可选项，其余为必填项。</w:t>
            </w: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jc w:val="right"/>
              <w:rPr>
                <w:rFonts w:eastAsia="等线" w:cs="等线"/>
                <w:color w:val="000000"/>
                <w:sz w:val="21"/>
                <w:szCs w:val="21"/>
              </w:rPr>
            </w:pPr>
            <w:r>
              <w:rPr>
                <w:rFonts w:hint="eastAsia" w:eastAsia="等线" w:cs="等线"/>
                <w:color w:val="000000"/>
                <w:sz w:val="21"/>
                <w:szCs w:val="21"/>
              </w:rPr>
              <w:t>日期：    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61007A87" w:usb1="80000000" w:usb2="00000008"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doNotShadeFormData w:val="true"/>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kMzVhMGJiMTFmMmE5MWU4ZmZjZjBmMDYyZjk5YmQifQ=="/>
  </w:docVars>
  <w:rsids>
    <w:rsidRoot w:val="00FA128F"/>
    <w:rsid w:val="00050611"/>
    <w:rsid w:val="0005098E"/>
    <w:rsid w:val="002B78ED"/>
    <w:rsid w:val="003202D8"/>
    <w:rsid w:val="00326E4B"/>
    <w:rsid w:val="003D55AC"/>
    <w:rsid w:val="0042512C"/>
    <w:rsid w:val="00497532"/>
    <w:rsid w:val="00533A25"/>
    <w:rsid w:val="00534088"/>
    <w:rsid w:val="005B6CA7"/>
    <w:rsid w:val="005F3623"/>
    <w:rsid w:val="00602695"/>
    <w:rsid w:val="00740239"/>
    <w:rsid w:val="007651E6"/>
    <w:rsid w:val="008046DA"/>
    <w:rsid w:val="008064C5"/>
    <w:rsid w:val="009061B8"/>
    <w:rsid w:val="009602BB"/>
    <w:rsid w:val="00B26CF2"/>
    <w:rsid w:val="00BE3E18"/>
    <w:rsid w:val="00C012E7"/>
    <w:rsid w:val="00C422A5"/>
    <w:rsid w:val="00C75811"/>
    <w:rsid w:val="00C857AB"/>
    <w:rsid w:val="00D118B7"/>
    <w:rsid w:val="00D41B68"/>
    <w:rsid w:val="00E044FA"/>
    <w:rsid w:val="00EB1AF4"/>
    <w:rsid w:val="00F64824"/>
    <w:rsid w:val="00F77960"/>
    <w:rsid w:val="00FA128F"/>
    <w:rsid w:val="02585560"/>
    <w:rsid w:val="02881F89"/>
    <w:rsid w:val="036B12C9"/>
    <w:rsid w:val="040A41B2"/>
    <w:rsid w:val="04AA094F"/>
    <w:rsid w:val="05E54EF8"/>
    <w:rsid w:val="063A5AF6"/>
    <w:rsid w:val="0663488F"/>
    <w:rsid w:val="06AE42ED"/>
    <w:rsid w:val="073A045E"/>
    <w:rsid w:val="0848014F"/>
    <w:rsid w:val="08752788"/>
    <w:rsid w:val="08E52245"/>
    <w:rsid w:val="08FB5D99"/>
    <w:rsid w:val="0AE57443"/>
    <w:rsid w:val="0B31206F"/>
    <w:rsid w:val="0BCC2F3B"/>
    <w:rsid w:val="0C9A5D95"/>
    <w:rsid w:val="0CAF784C"/>
    <w:rsid w:val="0EE0531B"/>
    <w:rsid w:val="10B44943"/>
    <w:rsid w:val="11657A0B"/>
    <w:rsid w:val="118D45D8"/>
    <w:rsid w:val="11E533D5"/>
    <w:rsid w:val="1236452E"/>
    <w:rsid w:val="13A846F6"/>
    <w:rsid w:val="13B13BC4"/>
    <w:rsid w:val="15B11765"/>
    <w:rsid w:val="16AE1823"/>
    <w:rsid w:val="16B602BA"/>
    <w:rsid w:val="177A0F4B"/>
    <w:rsid w:val="179479FE"/>
    <w:rsid w:val="18556B08"/>
    <w:rsid w:val="19292455"/>
    <w:rsid w:val="1A511666"/>
    <w:rsid w:val="1A9200D3"/>
    <w:rsid w:val="1AB20939"/>
    <w:rsid w:val="1B4258C0"/>
    <w:rsid w:val="1B7E152F"/>
    <w:rsid w:val="1C11121D"/>
    <w:rsid w:val="1C2B239C"/>
    <w:rsid w:val="1CA4553C"/>
    <w:rsid w:val="1D0128E9"/>
    <w:rsid w:val="1DB94FAF"/>
    <w:rsid w:val="1E0D77EC"/>
    <w:rsid w:val="1F7E5BBB"/>
    <w:rsid w:val="1F920946"/>
    <w:rsid w:val="20CB6377"/>
    <w:rsid w:val="211A65AA"/>
    <w:rsid w:val="219875A0"/>
    <w:rsid w:val="22183308"/>
    <w:rsid w:val="22932263"/>
    <w:rsid w:val="229A7A7F"/>
    <w:rsid w:val="22B63978"/>
    <w:rsid w:val="23364264"/>
    <w:rsid w:val="24426185"/>
    <w:rsid w:val="24DC68B5"/>
    <w:rsid w:val="25357D0A"/>
    <w:rsid w:val="25554BA6"/>
    <w:rsid w:val="260809CA"/>
    <w:rsid w:val="265400F1"/>
    <w:rsid w:val="26AA6231"/>
    <w:rsid w:val="26B6792E"/>
    <w:rsid w:val="27987E81"/>
    <w:rsid w:val="27C17949"/>
    <w:rsid w:val="280466BF"/>
    <w:rsid w:val="28AB37C7"/>
    <w:rsid w:val="28BF53AF"/>
    <w:rsid w:val="28CF256B"/>
    <w:rsid w:val="290C5535"/>
    <w:rsid w:val="2ADC7F1C"/>
    <w:rsid w:val="2B295DEA"/>
    <w:rsid w:val="2B2D5475"/>
    <w:rsid w:val="2B407315"/>
    <w:rsid w:val="2BD5250B"/>
    <w:rsid w:val="2C622209"/>
    <w:rsid w:val="2CDB1167"/>
    <w:rsid w:val="2D646E65"/>
    <w:rsid w:val="2E6604E2"/>
    <w:rsid w:val="2EFF62F8"/>
    <w:rsid w:val="2FF32D43"/>
    <w:rsid w:val="315B25C9"/>
    <w:rsid w:val="31B3658F"/>
    <w:rsid w:val="3200275B"/>
    <w:rsid w:val="32126FEE"/>
    <w:rsid w:val="321E0691"/>
    <w:rsid w:val="329E6A44"/>
    <w:rsid w:val="353D39A0"/>
    <w:rsid w:val="3642365E"/>
    <w:rsid w:val="36AD2BD6"/>
    <w:rsid w:val="37412F0C"/>
    <w:rsid w:val="377BAC37"/>
    <w:rsid w:val="37A634B4"/>
    <w:rsid w:val="37E54EE7"/>
    <w:rsid w:val="383C3C87"/>
    <w:rsid w:val="38A4279C"/>
    <w:rsid w:val="38B7566A"/>
    <w:rsid w:val="39D863DB"/>
    <w:rsid w:val="3A19018A"/>
    <w:rsid w:val="3A851CE4"/>
    <w:rsid w:val="3B3F0F23"/>
    <w:rsid w:val="3BD5178E"/>
    <w:rsid w:val="3BF27F68"/>
    <w:rsid w:val="3CF3EC5B"/>
    <w:rsid w:val="3D297C7E"/>
    <w:rsid w:val="3D7A5C77"/>
    <w:rsid w:val="3DCC51D1"/>
    <w:rsid w:val="3DD00BB5"/>
    <w:rsid w:val="3F85559B"/>
    <w:rsid w:val="3FD431C3"/>
    <w:rsid w:val="3FEC4BA6"/>
    <w:rsid w:val="405A31EA"/>
    <w:rsid w:val="405E3AFA"/>
    <w:rsid w:val="40673E54"/>
    <w:rsid w:val="40AB55DF"/>
    <w:rsid w:val="40B32349"/>
    <w:rsid w:val="41BD6756"/>
    <w:rsid w:val="41D519EF"/>
    <w:rsid w:val="423112EA"/>
    <w:rsid w:val="428D40A2"/>
    <w:rsid w:val="438A6561"/>
    <w:rsid w:val="4391045E"/>
    <w:rsid w:val="44933AA9"/>
    <w:rsid w:val="451C698D"/>
    <w:rsid w:val="45A74F64"/>
    <w:rsid w:val="45DC559C"/>
    <w:rsid w:val="46984281"/>
    <w:rsid w:val="477B544E"/>
    <w:rsid w:val="479D2B52"/>
    <w:rsid w:val="484B5427"/>
    <w:rsid w:val="490A07D9"/>
    <w:rsid w:val="4A965068"/>
    <w:rsid w:val="4AE136AF"/>
    <w:rsid w:val="4AE14DB8"/>
    <w:rsid w:val="4B922FC2"/>
    <w:rsid w:val="4B925A5A"/>
    <w:rsid w:val="4BC859A8"/>
    <w:rsid w:val="4D034250"/>
    <w:rsid w:val="4DD37F25"/>
    <w:rsid w:val="4E1D08A9"/>
    <w:rsid w:val="4E586160"/>
    <w:rsid w:val="4E922F64"/>
    <w:rsid w:val="4F3620ED"/>
    <w:rsid w:val="4F573CB2"/>
    <w:rsid w:val="4F7F3CC5"/>
    <w:rsid w:val="4FFD2277"/>
    <w:rsid w:val="51453A55"/>
    <w:rsid w:val="516C4F62"/>
    <w:rsid w:val="51B76E1F"/>
    <w:rsid w:val="51B82158"/>
    <w:rsid w:val="51C65294"/>
    <w:rsid w:val="52403DF8"/>
    <w:rsid w:val="53CC42C3"/>
    <w:rsid w:val="53FA5EC0"/>
    <w:rsid w:val="54276B25"/>
    <w:rsid w:val="54341262"/>
    <w:rsid w:val="570E6481"/>
    <w:rsid w:val="57785009"/>
    <w:rsid w:val="58C455EA"/>
    <w:rsid w:val="5B0E021D"/>
    <w:rsid w:val="5D2A3B6F"/>
    <w:rsid w:val="5DF878F6"/>
    <w:rsid w:val="5E857B5E"/>
    <w:rsid w:val="5EBF3A64"/>
    <w:rsid w:val="5F751CFF"/>
    <w:rsid w:val="5FDE778F"/>
    <w:rsid w:val="60647A74"/>
    <w:rsid w:val="612B2779"/>
    <w:rsid w:val="61571C02"/>
    <w:rsid w:val="61984230"/>
    <w:rsid w:val="619D0B77"/>
    <w:rsid w:val="629D46B5"/>
    <w:rsid w:val="63C25B2E"/>
    <w:rsid w:val="64410E4C"/>
    <w:rsid w:val="64A40FC0"/>
    <w:rsid w:val="64C31DA5"/>
    <w:rsid w:val="658E052F"/>
    <w:rsid w:val="666279CF"/>
    <w:rsid w:val="67CC6A64"/>
    <w:rsid w:val="689A2ED2"/>
    <w:rsid w:val="68A6341C"/>
    <w:rsid w:val="69205C4E"/>
    <w:rsid w:val="696B6C9F"/>
    <w:rsid w:val="6AA62C60"/>
    <w:rsid w:val="6B576C33"/>
    <w:rsid w:val="6C4B308E"/>
    <w:rsid w:val="6D08109F"/>
    <w:rsid w:val="6D142541"/>
    <w:rsid w:val="6DDF8048"/>
    <w:rsid w:val="6DED2EC2"/>
    <w:rsid w:val="6EB77451"/>
    <w:rsid w:val="6EFB10CF"/>
    <w:rsid w:val="6F2F125E"/>
    <w:rsid w:val="707261C5"/>
    <w:rsid w:val="708615F7"/>
    <w:rsid w:val="71161D2A"/>
    <w:rsid w:val="716B30BF"/>
    <w:rsid w:val="729F2FE4"/>
    <w:rsid w:val="72DD7BB7"/>
    <w:rsid w:val="72E11039"/>
    <w:rsid w:val="73394925"/>
    <w:rsid w:val="7474180A"/>
    <w:rsid w:val="75F7247C"/>
    <w:rsid w:val="768235F7"/>
    <w:rsid w:val="76D94C8A"/>
    <w:rsid w:val="77AE2DC1"/>
    <w:rsid w:val="77B7D035"/>
    <w:rsid w:val="77C61DD1"/>
    <w:rsid w:val="79405401"/>
    <w:rsid w:val="79E60593"/>
    <w:rsid w:val="7A23502E"/>
    <w:rsid w:val="7A3D74CF"/>
    <w:rsid w:val="7A4152D8"/>
    <w:rsid w:val="7A532747"/>
    <w:rsid w:val="7CAE2319"/>
    <w:rsid w:val="7D6F6546"/>
    <w:rsid w:val="7DFF3469"/>
    <w:rsid w:val="7E3668D4"/>
    <w:rsid w:val="7E4F75B6"/>
    <w:rsid w:val="7E6F7660"/>
    <w:rsid w:val="7EF67950"/>
    <w:rsid w:val="7EFB72DA"/>
    <w:rsid w:val="7F037706"/>
    <w:rsid w:val="7F2F199C"/>
    <w:rsid w:val="BE742098"/>
    <w:rsid w:val="CDFF1CB9"/>
    <w:rsid w:val="D73FA799"/>
    <w:rsid w:val="DB4F4B77"/>
    <w:rsid w:val="DBC958C0"/>
    <w:rsid w:val="DEFBAF3D"/>
    <w:rsid w:val="E4FE60BB"/>
    <w:rsid w:val="EAFF9E34"/>
    <w:rsid w:val="ECFF0EED"/>
    <w:rsid w:val="F66F76DB"/>
    <w:rsid w:val="FBFCBE1A"/>
    <w:rsid w:val="FDE7431A"/>
    <w:rsid w:val="FDED7CE9"/>
    <w:rsid w:val="FDFDEDDA"/>
    <w:rsid w:val="FFAF71E6"/>
    <w:rsid w:val="FFFFC8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bCs/>
    </w:rPr>
  </w:style>
  <w:style w:type="character" w:styleId="8">
    <w:name w:val="annotation reference"/>
    <w:basedOn w:val="6"/>
    <w:qFormat/>
    <w:uiPriority w:val="0"/>
    <w:rPr>
      <w:sz w:val="21"/>
      <w:szCs w:val="21"/>
    </w:rPr>
  </w:style>
  <w:style w:type="character" w:customStyle="1" w:styleId="9">
    <w:name w:val="页眉 Char"/>
    <w:basedOn w:val="6"/>
    <w:link w:val="4"/>
    <w:qFormat/>
    <w:uiPriority w:val="0"/>
    <w:rPr>
      <w:rFonts w:ascii="Times New Roman" w:hAnsi="Times New Roman" w:eastAsia="仿宋_GB2312" w:cs="Times New Roman"/>
      <w:kern w:val="2"/>
      <w:sz w:val="18"/>
      <w:szCs w:val="18"/>
    </w:rPr>
  </w:style>
  <w:style w:type="character" w:customStyle="1" w:styleId="10">
    <w:name w:val="页脚 Char"/>
    <w:basedOn w:val="6"/>
    <w:link w:val="3"/>
    <w:qFormat/>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465</Words>
  <Characters>2657</Characters>
  <Lines>22</Lines>
  <Paragraphs>6</Paragraphs>
  <TotalTime>13</TotalTime>
  <ScaleCrop>false</ScaleCrop>
  <LinksUpToDate>false</LinksUpToDate>
  <CharactersWithSpaces>3116</CharactersWithSpaces>
  <Application>WPS Office_11.8.2.10552_F1E327BC-269C-435d-A152-05C5408002CA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2021-03-23T19:45:00Z</dcterms:created>
  <dc:creator>buwei</dc:creator>
  <cp:lastModifiedBy>greatwall</cp:lastModifiedBy>
  <dcterms:modified xsi:type="dcterms:W3CDTF">2026-07-27T09:39:06Z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2052-11.8.2.10552</vt:lpwstr>
  </property>
  <property fmtid="{D5CDD505-2E9C-101B-9397-08002B2CF9AE}" pid="3" name="ICV">
    <vt:lpwstr>556D35A7633E424B90D6F8B5BFE34E0A</vt:lpwstr>
  </property>
</Properties>
</file>