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eastAsia="方正小标宋简体"/>
          <w:sz w:val="44"/>
          <w:szCs w:val="44"/>
        </w:rPr>
      </w:pPr>
      <w:r>
        <w:rPr>
          <w:rFonts w:hint="eastAsia" w:eastAsia="方正小标宋简体"/>
          <w:sz w:val="44"/>
          <w:szCs w:val="44"/>
        </w:rPr>
        <w:t>市场监管行业标准编制说明</w:t>
      </w:r>
    </w:p>
    <w:p>
      <w:pPr>
        <w:autoSpaceDE w:val="0"/>
        <w:autoSpaceDN w:val="0"/>
        <w:adjustRightInd w:val="0"/>
        <w:jc w:val="center"/>
        <w:rPr>
          <w:rFonts w:eastAsia="方正仿宋简体"/>
          <w:color w:val="000000"/>
          <w:sz w:val="24"/>
        </w:rPr>
      </w:pPr>
    </w:p>
    <w:tbl>
      <w:tblPr>
        <w:tblStyle w:val="4"/>
        <w:tblW w:w="9390" w:type="dxa"/>
        <w:tblInd w:w="-18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
      <w:tblGrid>
        <w:gridCol w:w="1773"/>
        <w:gridCol w:w="1346"/>
        <w:gridCol w:w="354"/>
        <w:gridCol w:w="271"/>
        <w:gridCol w:w="764"/>
        <w:gridCol w:w="99"/>
        <w:gridCol w:w="1374"/>
        <w:gridCol w:w="173"/>
        <w:gridCol w:w="187"/>
        <w:gridCol w:w="763"/>
        <w:gridCol w:w="379"/>
        <w:gridCol w:w="190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71" w:hRule="atLeast"/>
        </w:trPr>
        <w:tc>
          <w:tcPr>
            <w:tcW w:w="9390" w:type="dxa"/>
            <w:gridSpan w:val="12"/>
            <w:tcBorders>
              <w:top w:val="single" w:color="auto" w:sz="4" w:space="0"/>
              <w:left w:val="single" w:color="auto" w:sz="4" w:space="0"/>
              <w:bottom w:val="single" w:color="auto" w:sz="4" w:space="0"/>
              <w:right w:val="single" w:color="auto" w:sz="4" w:space="0"/>
            </w:tcBorders>
            <w:vAlign w:val="center"/>
          </w:tcPr>
          <w:p>
            <w:pPr>
              <w:spacing w:line="360" w:lineRule="exact"/>
              <w:jc w:val="left"/>
              <w:rPr>
                <w:rFonts w:eastAsia="等线" w:cs="等线"/>
                <w:b/>
                <w:color w:val="000000"/>
                <w:sz w:val="21"/>
                <w:szCs w:val="21"/>
              </w:rPr>
            </w:pPr>
            <w:r>
              <w:rPr>
                <w:rFonts w:hint="eastAsia" w:eastAsia="等线" w:cs="等线"/>
                <w:b/>
                <w:color w:val="000000"/>
                <w:sz w:val="21"/>
                <w:szCs w:val="21"/>
              </w:rPr>
              <w:t>1、基本信息</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554" w:hRule="atLeast"/>
        </w:trPr>
        <w:tc>
          <w:tcPr>
            <w:tcW w:w="1773"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1.1 标准名称</w:t>
            </w:r>
          </w:p>
        </w:tc>
        <w:tc>
          <w:tcPr>
            <w:tcW w:w="1700"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中文</w:t>
            </w:r>
          </w:p>
        </w:tc>
        <w:tc>
          <w:tcPr>
            <w:tcW w:w="5917" w:type="dxa"/>
            <w:gridSpan w:val="9"/>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color w:val="000000"/>
                <w:sz w:val="21"/>
                <w:szCs w:val="21"/>
              </w:rPr>
            </w:pPr>
            <w:r>
              <w:rPr>
                <w:rFonts w:hint="eastAsia" w:eastAsia="等线" w:cs="等线"/>
                <w:color w:val="000000"/>
                <w:sz w:val="21"/>
                <w:szCs w:val="21"/>
              </w:rPr>
              <w:t>食用农产品批发市场食品安全监管数据标准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98"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color w:val="000000"/>
                <w:sz w:val="21"/>
                <w:szCs w:val="21"/>
              </w:rPr>
            </w:pPr>
          </w:p>
        </w:tc>
        <w:tc>
          <w:tcPr>
            <w:tcW w:w="1700"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英文</w:t>
            </w:r>
          </w:p>
        </w:tc>
        <w:tc>
          <w:tcPr>
            <w:tcW w:w="5917" w:type="dxa"/>
            <w:gridSpan w:val="9"/>
            <w:tcBorders>
              <w:top w:val="single" w:color="auto" w:sz="4" w:space="0"/>
              <w:left w:val="single" w:color="auto" w:sz="4" w:space="0"/>
              <w:bottom w:val="single" w:color="auto" w:sz="4" w:space="0"/>
              <w:right w:val="single" w:color="auto" w:sz="4" w:space="0"/>
            </w:tcBorders>
            <w:vAlign w:val="center"/>
          </w:tcPr>
          <w:p>
            <w:pPr>
              <w:spacing w:line="360" w:lineRule="exact"/>
              <w:jc w:val="left"/>
              <w:rPr>
                <w:rFonts w:eastAsia="等线" w:cs="等线"/>
                <w:sz w:val="21"/>
                <w:szCs w:val="21"/>
              </w:rPr>
            </w:pPr>
            <w:r>
              <w:rPr>
                <w:rFonts w:hint="eastAsia" w:eastAsia="等线" w:cs="等线"/>
                <w:color w:val="000000"/>
                <w:sz w:val="21"/>
                <w:szCs w:val="21"/>
              </w:rPr>
              <w:fldChar w:fldCharType="begin">
                <w:ffData>
                  <w:name w:val="ESTD_NAME"/>
                  <w:enabled/>
                  <w:calcOnExit w:val="0"/>
                  <w:textInput>
                    <w:default w:val="Information on food safety supervision in national wholesale markets for edible agricultural products data specification"/>
                  </w:textInput>
                </w:ffData>
              </w:fldChar>
            </w:r>
            <w:bookmarkStart w:id="0" w:name="ESTD_NAME"/>
            <w:r>
              <w:rPr>
                <w:rFonts w:hint="eastAsia" w:eastAsia="等线" w:cs="等线"/>
                <w:color w:val="000000"/>
                <w:sz w:val="21"/>
                <w:szCs w:val="21"/>
              </w:rPr>
              <w:instrText xml:space="preserve"> FORMTEXT </w:instrText>
            </w:r>
            <w:r>
              <w:rPr>
                <w:rFonts w:hint="eastAsia" w:eastAsia="等线" w:cs="等线"/>
                <w:color w:val="000000"/>
                <w:sz w:val="21"/>
                <w:szCs w:val="21"/>
              </w:rPr>
              <w:fldChar w:fldCharType="separate"/>
            </w:r>
            <w:r>
              <w:rPr>
                <w:rFonts w:hint="eastAsia" w:eastAsia="等线" w:cs="等线"/>
                <w:color w:val="000000"/>
                <w:sz w:val="21"/>
                <w:szCs w:val="21"/>
              </w:rPr>
              <w:t>Information on food safety supervision in national wholesale markets for edible agricultural products data specification</w:t>
            </w:r>
            <w:r>
              <w:rPr>
                <w:rFonts w:hint="eastAsia" w:eastAsia="等线" w:cs="等线"/>
                <w:color w:val="000000"/>
                <w:sz w:val="21"/>
                <w:szCs w:val="21"/>
              </w:rPr>
              <w:fldChar w:fldCharType="end"/>
            </w:r>
            <w:bookmarkEnd w:id="0"/>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71" w:hRule="atLeast"/>
        </w:trPr>
        <w:tc>
          <w:tcPr>
            <w:tcW w:w="1773"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1.2 与国际标准和国外先进标准一致性程度情况</w:t>
            </w:r>
          </w:p>
        </w:tc>
        <w:tc>
          <w:tcPr>
            <w:tcW w:w="1700" w:type="dxa"/>
            <w:gridSpan w:val="2"/>
            <w:vMerge w:val="restart"/>
            <w:tcBorders>
              <w:top w:val="single" w:color="auto" w:sz="4" w:space="0"/>
              <w:left w:val="single" w:color="auto" w:sz="4" w:space="0"/>
              <w:bottom w:val="single" w:color="auto" w:sz="4" w:space="0"/>
              <w:right w:val="single" w:color="auto" w:sz="4" w:space="0"/>
            </w:tcBorders>
            <w:vAlign w:val="center"/>
          </w:tcPr>
          <w:p>
            <w:pPr>
              <w:jc w:val="left"/>
              <w:rPr>
                <w:rFonts w:eastAsia="等线" w:cs="等线"/>
                <w:color w:val="000000"/>
                <w:sz w:val="21"/>
                <w:szCs w:val="21"/>
              </w:rPr>
            </w:pPr>
            <w:r>
              <w:rPr>
                <w:rFonts w:hint="eastAsia" w:eastAsia="等线" w:cs="等线"/>
                <w:color w:val="000000"/>
                <w:sz w:val="21"/>
                <w:szCs w:val="21"/>
              </w:rPr>
              <w:t>□等同采用</w:t>
            </w:r>
          </w:p>
          <w:p>
            <w:pPr>
              <w:jc w:val="left"/>
              <w:rPr>
                <w:rFonts w:eastAsia="等线" w:cs="等线"/>
                <w:color w:val="000000"/>
                <w:sz w:val="21"/>
                <w:szCs w:val="21"/>
              </w:rPr>
            </w:pPr>
            <w:r>
              <w:rPr>
                <w:rFonts w:hint="eastAsia" w:eastAsia="等线" w:cs="等线"/>
                <w:color w:val="000000"/>
                <w:sz w:val="21"/>
                <w:szCs w:val="21"/>
              </w:rPr>
              <w:t>□修改采用</w:t>
            </w:r>
          </w:p>
          <w:p>
            <w:pPr>
              <w:jc w:val="left"/>
              <w:rPr>
                <w:rFonts w:eastAsia="等线" w:cs="等线"/>
                <w:color w:val="000000"/>
                <w:sz w:val="21"/>
                <w:szCs w:val="21"/>
              </w:rPr>
            </w:pPr>
            <w:r>
              <w:rPr>
                <w:rFonts w:hint="eastAsia" w:eastAsia="等线" w:cs="等线"/>
                <w:color w:val="000000"/>
                <w:sz w:val="21"/>
                <w:szCs w:val="21"/>
              </w:rPr>
              <w:t>□非等效采用</w:t>
            </w:r>
          </w:p>
          <w:p>
            <w:pPr>
              <w:jc w:val="left"/>
              <w:rPr>
                <w:rFonts w:eastAsia="等线" w:cs="等线"/>
                <w:b/>
                <w:color w:val="000000"/>
                <w:sz w:val="21"/>
                <w:szCs w:val="21"/>
              </w:rPr>
            </w:pPr>
            <w:r>
              <w:rPr>
                <w:rFonts w:hint="eastAsia" w:ascii="等线" w:hAnsi="等线" w:eastAsia="等线" w:cs="等线"/>
                <w:color w:val="000000"/>
                <w:sz w:val="21"/>
                <w:szCs w:val="21"/>
              </w:rPr>
              <w:t>■</w:t>
            </w:r>
            <w:r>
              <w:rPr>
                <w:rFonts w:hint="eastAsia" w:eastAsia="等线" w:cs="等线"/>
                <w:color w:val="000000"/>
                <w:sz w:val="21"/>
                <w:szCs w:val="21"/>
              </w:rPr>
              <w:t>未采用</w:t>
            </w:r>
          </w:p>
        </w:tc>
        <w:tc>
          <w:tcPr>
            <w:tcW w:w="113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标准编号</w:t>
            </w:r>
          </w:p>
        </w:tc>
        <w:tc>
          <w:tcPr>
            <w:tcW w:w="4783" w:type="dxa"/>
            <w:gridSpan w:val="6"/>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71"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color w:val="000000"/>
                <w:sz w:val="21"/>
                <w:szCs w:val="21"/>
              </w:rPr>
            </w:pPr>
          </w:p>
        </w:tc>
        <w:tc>
          <w:tcPr>
            <w:tcW w:w="60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b/>
                <w:color w:val="000000"/>
                <w:sz w:val="21"/>
                <w:szCs w:val="21"/>
              </w:rPr>
            </w:pPr>
          </w:p>
        </w:tc>
        <w:tc>
          <w:tcPr>
            <w:tcW w:w="113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英文名称</w:t>
            </w:r>
          </w:p>
        </w:tc>
        <w:tc>
          <w:tcPr>
            <w:tcW w:w="4783" w:type="dxa"/>
            <w:gridSpan w:val="6"/>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019"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color w:val="000000"/>
                <w:sz w:val="21"/>
                <w:szCs w:val="21"/>
              </w:rPr>
            </w:pPr>
          </w:p>
        </w:tc>
        <w:tc>
          <w:tcPr>
            <w:tcW w:w="60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b/>
                <w:color w:val="000000"/>
                <w:sz w:val="21"/>
                <w:szCs w:val="21"/>
              </w:rPr>
            </w:pPr>
          </w:p>
        </w:tc>
        <w:tc>
          <w:tcPr>
            <w:tcW w:w="113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中文名称</w:t>
            </w:r>
          </w:p>
        </w:tc>
        <w:tc>
          <w:tcPr>
            <w:tcW w:w="4783" w:type="dxa"/>
            <w:gridSpan w:val="6"/>
            <w:tcBorders>
              <w:top w:val="single" w:color="auto" w:sz="4" w:space="0"/>
              <w:left w:val="single" w:color="auto" w:sz="4" w:space="0"/>
              <w:bottom w:val="single" w:color="auto" w:sz="4" w:space="0"/>
              <w:right w:val="single" w:color="auto" w:sz="4" w:space="0"/>
            </w:tcBorders>
            <w:vAlign w:val="center"/>
          </w:tcPr>
          <w:p>
            <w:pPr>
              <w:spacing w:line="360" w:lineRule="exact"/>
              <w:rPr>
                <w:rFonts w:eastAsia="等线" w:cs="等线"/>
                <w:b/>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879"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1.3 任务来源</w:t>
            </w:r>
          </w:p>
        </w:tc>
        <w:tc>
          <w:tcPr>
            <w:tcW w:w="1700" w:type="dxa"/>
            <w:gridSpan w:val="2"/>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批准立项的文件名称和文件号</w:t>
            </w:r>
          </w:p>
        </w:tc>
        <w:tc>
          <w:tcPr>
            <w:tcW w:w="2508" w:type="dxa"/>
            <w:gridSpan w:val="4"/>
            <w:tcBorders>
              <w:top w:val="single" w:color="auto" w:sz="4" w:space="0"/>
              <w:left w:val="single" w:color="auto" w:sz="4" w:space="0"/>
              <w:bottom w:val="single" w:color="auto" w:sz="4"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市场监管总局关于下达2024年度市场监管行业标准制订计划项目的通知（国市监办发【2025】39号）</w:t>
            </w:r>
          </w:p>
        </w:tc>
        <w:tc>
          <w:tcPr>
            <w:tcW w:w="1123" w:type="dxa"/>
            <w:gridSpan w:val="3"/>
            <w:tcBorders>
              <w:top w:val="single" w:color="auto" w:sz="4" w:space="0"/>
              <w:left w:val="single" w:color="auto" w:sz="4" w:space="0"/>
              <w:bottom w:val="single" w:color="auto" w:sz="4"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计划编号</w:t>
            </w:r>
          </w:p>
        </w:tc>
        <w:tc>
          <w:tcPr>
            <w:tcW w:w="2286" w:type="dxa"/>
            <w:gridSpan w:val="2"/>
            <w:tcBorders>
              <w:top w:val="single" w:color="auto" w:sz="4" w:space="0"/>
              <w:left w:val="single" w:color="auto" w:sz="4" w:space="0"/>
              <w:bottom w:val="single" w:color="auto" w:sz="4"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2024MR0013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895"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1.4制（修）订</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rPr>
                <w:rFonts w:eastAsia="等线" w:cs="等线"/>
                <w:color w:val="000000"/>
                <w:sz w:val="21"/>
                <w:szCs w:val="21"/>
              </w:rPr>
            </w:pPr>
            <w:r>
              <w:rPr>
                <w:rFonts w:hint="eastAsia" w:ascii="等线" w:hAnsi="等线" w:eastAsia="等线" w:cs="等线"/>
                <w:color w:val="000000"/>
                <w:sz w:val="21"/>
                <w:szCs w:val="21"/>
              </w:rPr>
              <w:t>■</w:t>
            </w:r>
            <w:r>
              <w:rPr>
                <w:rFonts w:hint="eastAsia" w:eastAsia="等线" w:cs="等线"/>
                <w:snapToGrid w:val="0"/>
                <w:color w:val="000000"/>
                <w:kern w:val="0"/>
                <w:sz w:val="21"/>
                <w:szCs w:val="21"/>
              </w:rPr>
              <w:t>制定     □修订</w:t>
            </w:r>
            <w:r>
              <w:rPr>
                <w:rFonts w:hint="eastAsia" w:eastAsia="等线" w:cs="等线"/>
                <w:sz w:val="21"/>
                <w:szCs w:val="21"/>
              </w:rPr>
              <w:t>（被修订标准名称及编号：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563"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1.5 起止时间</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2024年  10 月--- 2026 年  10 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513"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1.6 标准起草单位</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rPr>
                <w:rFonts w:eastAsia="等线" w:cs="等线"/>
                <w:color w:val="000000"/>
                <w:sz w:val="21"/>
                <w:szCs w:val="21"/>
              </w:rPr>
            </w:pPr>
            <w:r>
              <w:rPr>
                <w:rFonts w:hint="eastAsia" w:eastAsia="等线" w:cs="等线"/>
                <w:snapToGrid w:val="0"/>
                <w:color w:val="000000"/>
                <w:kern w:val="0"/>
                <w:sz w:val="21"/>
                <w:szCs w:val="21"/>
              </w:rPr>
              <w:t>中国网络安全审查认证和市场监管大数据中心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642"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1.7 起草团队</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rPr>
                <w:rFonts w:eastAsia="等线" w:cs="等线"/>
                <w:color w:val="000000"/>
                <w:sz w:val="21"/>
                <w:szCs w:val="21"/>
              </w:rPr>
            </w:pPr>
            <w:r>
              <w:rPr>
                <w:rFonts w:hint="eastAsia" w:eastAsia="等线" w:cs="等线"/>
                <w:color w:val="000000"/>
                <w:sz w:val="21"/>
                <w:szCs w:val="21"/>
              </w:rPr>
              <w:t>中国标准化研究院</w:t>
            </w:r>
          </w:p>
          <w:p>
            <w:pPr>
              <w:rPr>
                <w:rFonts w:eastAsia="等线" w:cs="等线"/>
                <w:color w:val="000000"/>
                <w:sz w:val="21"/>
                <w:szCs w:val="21"/>
              </w:rPr>
            </w:pPr>
            <w:r>
              <w:rPr>
                <w:rFonts w:hint="eastAsia" w:eastAsia="等线" w:cs="等线"/>
                <w:color w:val="000000"/>
                <w:sz w:val="21"/>
                <w:szCs w:val="21"/>
              </w:rPr>
              <w:t>四川省市场监督管理局数据应用中心</w:t>
            </w:r>
            <w:bookmarkStart w:id="1" w:name="OLE_LINK3"/>
          </w:p>
          <w:p>
            <w:pPr>
              <w:rPr>
                <w:rFonts w:eastAsia="等线" w:cs="等线"/>
                <w:color w:val="000000"/>
                <w:sz w:val="21"/>
                <w:szCs w:val="21"/>
              </w:rPr>
            </w:pPr>
            <w:r>
              <w:rPr>
                <w:rFonts w:eastAsia="等线" w:cs="等线"/>
                <w:color w:val="000000"/>
                <w:sz w:val="21"/>
                <w:szCs w:val="21"/>
              </w:rPr>
              <w:t>中国质量检验检测科学研究院</w:t>
            </w:r>
            <w:bookmarkEnd w:id="1"/>
          </w:p>
          <w:p>
            <w:pPr>
              <w:rPr>
                <w:rFonts w:eastAsia="等线" w:cs="等线"/>
                <w:color w:val="000000"/>
                <w:sz w:val="21"/>
                <w:szCs w:val="21"/>
              </w:rPr>
            </w:pPr>
            <w:r>
              <w:rPr>
                <w:rFonts w:hint="eastAsia" w:eastAsia="等线" w:cs="等线"/>
                <w:snapToGrid w:val="0"/>
                <w:color w:val="000000"/>
                <w:kern w:val="0"/>
                <w:sz w:val="21"/>
                <w:szCs w:val="21"/>
              </w:rPr>
              <w:t>新长城科技有限公司</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933"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1.8 标准体系表内编号</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无</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060"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1.9调整情况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eastAsia="等线" w:cs="等线"/>
                <w:color w:val="000000"/>
                <w:sz w:val="21"/>
                <w:szCs w:val="21"/>
              </w:rPr>
              <w:t>无</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b/>
                <w:color w:val="000000"/>
                <w:sz w:val="21"/>
                <w:szCs w:val="21"/>
              </w:rPr>
              <w:t>2、背景情况</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750" w:hRule="atLeast"/>
        </w:trPr>
        <w:tc>
          <w:tcPr>
            <w:tcW w:w="1773" w:type="dxa"/>
            <w:tcBorders>
              <w:top w:val="single" w:color="auto" w:sz="6" w:space="0"/>
              <w:left w:val="single" w:color="auto" w:sz="4" w:space="0"/>
              <w:bottom w:val="single" w:color="auto" w:sz="6" w:space="0"/>
              <w:right w:val="single" w:color="auto" w:sz="4" w:space="0"/>
            </w:tcBorders>
            <w:vAlign w:val="center"/>
          </w:tcPr>
          <w:p>
            <w:pPr>
              <w:ind w:left="214" w:leftChars="67" w:right="54" w:rightChars="17"/>
              <w:rPr>
                <w:rFonts w:eastAsia="等线" w:cs="等线"/>
                <w:color w:val="000000"/>
                <w:sz w:val="21"/>
                <w:szCs w:val="21"/>
              </w:rPr>
            </w:pPr>
            <w:r>
              <w:rPr>
                <w:rFonts w:hint="eastAsia" w:eastAsia="等线" w:cs="等线"/>
                <w:color w:val="000000"/>
                <w:sz w:val="21"/>
                <w:szCs w:val="21"/>
              </w:rPr>
              <w:t>2.1 目的、意义</w:t>
            </w:r>
          </w:p>
          <w:p>
            <w:pPr>
              <w:jc w:val="center"/>
              <w:rPr>
                <w:rFonts w:eastAsia="等线" w:cs="等线"/>
                <w:b/>
                <w:color w:val="000000"/>
                <w:sz w:val="21"/>
                <w:szCs w:val="21"/>
              </w:rPr>
            </w:pPr>
            <w:r>
              <w:rPr>
                <w:rFonts w:hint="eastAsia" w:eastAsia="等线" w:cs="等线"/>
                <w:color w:val="000000"/>
                <w:sz w:val="21"/>
                <w:szCs w:val="21"/>
              </w:rPr>
              <w:t>（工作开展背景及要求）</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spacing w:line="360" w:lineRule="exact"/>
              <w:ind w:firstLine="420" w:firstLineChars="200"/>
              <w:rPr>
                <w:rFonts w:ascii="宋体" w:hAnsi="宋体" w:eastAsia="宋体" w:cs="宋体"/>
                <w:sz w:val="21"/>
                <w:szCs w:val="21"/>
              </w:rPr>
            </w:pPr>
            <w:r>
              <w:rPr>
                <w:rFonts w:hint="eastAsia" w:ascii="宋体" w:hAnsi="宋体" w:eastAsia="宋体" w:cs="宋体"/>
                <w:sz w:val="21"/>
                <w:szCs w:val="21"/>
              </w:rPr>
              <w:t>随着我国经济的快速发展和人民生活水平的不断提高，食品安全问题越来越受到社会的广泛关注。食用农产品作为食品供应链的重要环节，其质量安全直接关系到消费者的健康和生命安全。为了规范食用农产品市场销售行为，加强食用农产品市场销售质量安全监督管理，保障食用农产品质量安全，国家市场监督管理总局出台了《食用农产品市场销售质量安全监督管理办法》（以下简称81号文）。</w:t>
            </w:r>
          </w:p>
          <w:p>
            <w:pPr>
              <w:spacing w:line="360" w:lineRule="exact"/>
              <w:ind w:firstLine="420" w:firstLineChars="200"/>
              <w:rPr>
                <w:rFonts w:ascii="宋体" w:hAnsi="宋体" w:eastAsia="宋体" w:cs="宋体"/>
                <w:sz w:val="21"/>
                <w:szCs w:val="21"/>
              </w:rPr>
            </w:pPr>
            <w:r>
              <w:rPr>
                <w:rFonts w:hint="eastAsia" w:ascii="宋体" w:hAnsi="宋体" w:eastAsia="宋体" w:cs="宋体"/>
                <w:sz w:val="21"/>
                <w:szCs w:val="21"/>
              </w:rPr>
              <w:t>81号文的实施，对食用农产品市场销售提出了明确要求，包括销售者义务、市场开办者责任、监督检查等内容，为食用农产品市场销售质量安全提供了法律依据。然而，当前食用农产品批发市场监管信息系统在数据标准规范方面尚存在不足，如数据格式不统一、信息孤岛现象严重、数据共享和利用效率低等问题，这些问题严重影响了监管效率和食品安全水平的提升。</w:t>
            </w:r>
          </w:p>
          <w:p>
            <w:pPr>
              <w:spacing w:line="360" w:lineRule="exact"/>
              <w:ind w:firstLine="420" w:firstLineChars="200"/>
              <w:rPr>
                <w:rFonts w:asciiTheme="majorEastAsia" w:hAnsiTheme="majorEastAsia" w:eastAsiaTheme="majorEastAsia"/>
                <w:sz w:val="21"/>
                <w:szCs w:val="21"/>
              </w:rPr>
            </w:pPr>
            <w:r>
              <w:rPr>
                <w:rFonts w:hint="eastAsia" w:ascii="宋体" w:hAnsi="宋体" w:eastAsia="宋体" w:cs="宋体"/>
                <w:sz w:val="21"/>
                <w:szCs w:val="21"/>
              </w:rPr>
              <w:t>因此，制定食用农产品批发市场监管信息系统行业数据标准规范，对于提高监管效率、保障食用农产品质量安全具有重要意义。通过建立统一的数据标准，可以促进信息共享，提高监管的透明度和公信力，有效防范和控制食品安全风险。</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981"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2.2 与国内外相关标准、文献的关系</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spacing w:line="360" w:lineRule="exact"/>
              <w:ind w:firstLine="420" w:firstLineChars="200"/>
              <w:rPr>
                <w:rFonts w:ascii="宋体" w:hAnsi="宋体" w:eastAsia="宋体" w:cs="宋体"/>
                <w:sz w:val="21"/>
                <w:szCs w:val="21"/>
              </w:rPr>
            </w:pPr>
            <w:r>
              <w:rPr>
                <w:rFonts w:hint="eastAsia" w:ascii="宋体" w:hAnsi="宋体" w:eastAsia="宋体" w:cs="宋体"/>
                <w:sz w:val="21"/>
                <w:szCs w:val="21"/>
              </w:rPr>
              <w:t>1.国外标准情况：与食品安全直接相关的国际标准化组织主要有国际食品法典委员会(CAC)、国际食品制造商协会(ICGMA)，国际标准化组织食品技术委员会食品安全管理体系分委会（ISO/TC34/SC17）。其中，CAC是政府间国际组织，ICGMA均是国际非政府组织。在食品安全领域的国际标准一般指的是CAC制定的国际食品法典标准，主要是为了在国际食品和农产品贸易中给消费者提高更高水平的保护，并促进更公平的交易活动而制定的一系列食品标准和相关的规定。食品法典以统一的形式提出并汇集了国际上已采用的全部食品标准，包括所有向消费者销售的加工、半加工食品或食品原料的标准。此外，ISO/TC34/SC17目前已发布七个ISO22000系列国际标准，该系列标准主要是描述食品安全管理体系要求的使用指导标准，又是可供食品生产、操作和供应的组织认证和注册的依据。目前，直接针对食用农产品批发市场食品安全信息化标准化方面的标准还无相关国际标准。</w:t>
            </w:r>
          </w:p>
          <w:p>
            <w:pPr>
              <w:spacing w:line="360" w:lineRule="exact"/>
              <w:ind w:firstLine="420" w:firstLineChars="200"/>
              <w:rPr>
                <w:rFonts w:ascii="宋体" w:hAnsi="宋体" w:eastAsia="宋体" w:cs="宋体"/>
                <w:sz w:val="21"/>
                <w:szCs w:val="21"/>
              </w:rPr>
            </w:pPr>
            <w:r>
              <w:rPr>
                <w:rFonts w:hint="eastAsia" w:ascii="宋体" w:hAnsi="宋体" w:eastAsia="宋体" w:cs="宋体"/>
                <w:sz w:val="21"/>
                <w:szCs w:val="21"/>
              </w:rPr>
              <w:t>2.国内标准情况：在食品安全标准方面，我国与国际标准化组织食品技术委员会食品安全管理体系分委会（ISO/TC34/SC17）对口的是全国食品质量控制与管理标准化技术委员会（TC313），主要开展食品质量控制领域的基础性、综合性、通用性标准化工作。目前已发布涉及食品生产方面的国家多项，但这些标准主要规范内容集中在基础性、综合性、通用性食品安全和生产管理方面，对食用农产品批发市场食品安全方面的国家标准未涉及。具体到农产品批发市场相关食品标准方面，国内先后发布实施了GB/T 29372-2012《食用农产品保鲜贮藏管理规范》、GB 43284-2023《限制商品过度包装要求 生鲜食用农产品》、GB/T 37109-2018《农产品基本信息描述 食用菌类》、GB/T 19220-2003《农副产品绿色批发市场》、GB/T 34769-2017《肉类批发市场交易技术规范》、GB/T 19575-2004《农产品批发市场管理技术规范》等国家标准，以及个别地方为规范区域内的食用农产品市场的规范发展，发布实施了DB43/T 554.2-2010 《食用农产品连锁商店通用管理规范 第2部分: 食用农产品</w:t>
            </w:r>
            <w:r>
              <w:rPr>
                <w:rFonts w:hint="eastAsia"/>
                <w:sz w:val="21"/>
                <w:szCs w:val="21"/>
              </w:rPr>
              <w:t>连锁专业</w:t>
            </w:r>
            <w:r>
              <w:rPr>
                <w:rFonts w:hint="eastAsia" w:ascii="宋体" w:hAnsi="宋体" w:eastAsia="宋体" w:cs="宋体"/>
                <w:sz w:val="21"/>
                <w:szCs w:val="21"/>
              </w:rPr>
              <w:t>商店》、DB43/T 554.1-2010《食用农产品连锁商店通用管理规范 第1部分: 食用农产品连锁综合商店》 、DB43/T 554.3-2010《食用农产品连锁商店通用管理规范 第3部分: 食用农产品连锁品牌专卖店》 等地方标准。目前，发布实施的标准仅对食用农产品市场的技术和管理以及交易场所进行要求，对食用农产品市场是的食品安全信息化标准方面还未涉及，制定《食用农产品批发市场食品安全监管数据规范》行业标准正是填补目前该方面标准缺失的现状，是对目前食品安全标准体系建设的补充和完善，从市场监管行业内规范食用农产品批发市场食品安全监管业务系统的开发建设，以及相关业务信息的采集、处理、交换与共享。</w:t>
            </w:r>
          </w:p>
          <w:p>
            <w:pPr>
              <w:spacing w:line="360" w:lineRule="exact"/>
              <w:ind w:firstLine="420" w:firstLineChars="200"/>
              <w:rPr>
                <w:rFonts w:asciiTheme="majorEastAsia" w:hAnsiTheme="majorEastAsia" w:eastAsiaTheme="majorEastAsia"/>
                <w:sz w:val="21"/>
                <w:szCs w:val="21"/>
              </w:rPr>
            </w:pPr>
            <w:r>
              <w:rPr>
                <w:rFonts w:hint="eastAsia" w:ascii="宋体" w:hAnsi="宋体" w:eastAsia="宋体" w:cs="宋体"/>
                <w:sz w:val="21"/>
                <w:szCs w:val="21"/>
              </w:rPr>
              <w:t>3.与现行各类信用法律法规的关系：落实《中华人民共和国食品安全法》、《中华人民共和国农产品质量安全法》、《中华人民共和国食品安全法实施条例》、《食用农产品市场销售质量安全监督管理办法》相关政策措施、法律法规的重要举措。</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b/>
                <w:color w:val="000000"/>
                <w:sz w:val="21"/>
                <w:szCs w:val="21"/>
                <w:highlight w:val="none"/>
              </w:rPr>
              <w:t>3、编制过程</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2897"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3.1 分工情况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spacing w:line="360" w:lineRule="exact"/>
              <w:ind w:firstLine="420" w:firstLineChars="200"/>
              <w:rPr>
                <w:rFonts w:ascii="宋体" w:hAnsi="宋体" w:eastAsia="宋体" w:cs="宋体"/>
                <w:sz w:val="21"/>
                <w:szCs w:val="21"/>
              </w:rPr>
            </w:pPr>
            <w:r>
              <w:rPr>
                <w:rFonts w:hint="eastAsia" w:ascii="宋体" w:hAnsi="宋体" w:eastAsia="宋体" w:cs="宋体"/>
                <w:sz w:val="21"/>
                <w:szCs w:val="21"/>
              </w:rPr>
              <w:t>2025年4月，国家市场监督管理总局关于下达2024年度市场监管行业标准制订计划项目的通知，本标准正式立项，立项计划号为</w:t>
            </w:r>
            <w:r>
              <w:rPr>
                <w:rFonts w:ascii="宋体" w:hAnsi="宋体" w:eastAsia="宋体" w:cs="宋体"/>
                <w:sz w:val="21"/>
                <w:szCs w:val="21"/>
              </w:rPr>
              <w:t>2024MR0013</w:t>
            </w:r>
            <w:r>
              <w:rPr>
                <w:rFonts w:hint="eastAsia" w:ascii="宋体" w:hAnsi="宋体" w:eastAsia="宋体" w:cs="宋体"/>
                <w:sz w:val="21"/>
                <w:szCs w:val="21"/>
              </w:rPr>
              <w:t>。2025年4月，成立了由中国网络安全审查认证和市场监管大数据中心牵头，中国标准化研究院、四川省市场监督管理局数据应用中心、中国质量检验检测科学研究院、</w:t>
            </w:r>
            <w:bookmarkStart w:id="2" w:name="OLE_LINK4"/>
            <w:r>
              <w:rPr>
                <w:rFonts w:hint="eastAsia" w:ascii="宋体" w:hAnsi="宋体" w:eastAsia="宋体" w:cs="宋体"/>
                <w:sz w:val="21"/>
                <w:szCs w:val="21"/>
              </w:rPr>
              <w:t>新长城科技有限公司</w:t>
            </w:r>
            <w:bookmarkEnd w:id="2"/>
            <w:r>
              <w:rPr>
                <w:rFonts w:hint="eastAsia" w:ascii="宋体" w:hAnsi="宋体" w:eastAsia="宋体" w:cs="宋体"/>
                <w:sz w:val="21"/>
                <w:szCs w:val="21"/>
              </w:rPr>
              <w:t>等5家单位共同组成的标准起草组，</w:t>
            </w:r>
            <w:r>
              <w:rPr>
                <w:rFonts w:hint="eastAsia" w:ascii="宋体" w:hAnsi="宋体" w:eastAsia="宋体" w:cs="宋体"/>
                <w:sz w:val="21"/>
                <w:szCs w:val="21"/>
                <w:lang w:eastAsia="zh-CN"/>
              </w:rPr>
              <w:t>并</w:t>
            </w:r>
            <w:r>
              <w:rPr>
                <w:rFonts w:hint="eastAsia" w:ascii="宋体" w:hAnsi="宋体" w:eastAsia="宋体" w:cs="宋体"/>
                <w:sz w:val="21"/>
                <w:szCs w:val="21"/>
              </w:rPr>
              <w:t>根据各参与单位及起草组成员的前期基础研究、专业特长和标准制定经验向起草组成员分配了工作任务，标准起草工作正式启动。具体分工如下：</w:t>
            </w:r>
          </w:p>
          <w:tbl>
            <w:tblPr>
              <w:tblStyle w:val="4"/>
              <w:tblW w:w="4343" w:type="pct"/>
              <w:tblInd w:w="4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784"/>
              <w:gridCol w:w="30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2703" w:type="pct"/>
                  <w:gridSpan w:val="2"/>
                </w:tcPr>
                <w:p>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单位名称</w:t>
                  </w:r>
                </w:p>
              </w:tc>
              <w:tc>
                <w:tcPr>
                  <w:tcW w:w="2297" w:type="pct"/>
                </w:tcPr>
                <w:p>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任务分工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pct"/>
                  <w:vAlign w:val="center"/>
                </w:tcPr>
                <w:p>
                  <w:pPr>
                    <w:spacing w:line="360" w:lineRule="exact"/>
                    <w:rPr>
                      <w:rFonts w:hint="eastAsia" w:ascii="宋体" w:hAnsi="宋体" w:eastAsia="宋体" w:cs="宋体"/>
                      <w:sz w:val="21"/>
                      <w:szCs w:val="21"/>
                    </w:rPr>
                  </w:pPr>
                  <w:bookmarkStart w:id="3" w:name="OLE_LINK1" w:colFirst="3" w:colLast="3"/>
                  <w:r>
                    <w:rPr>
                      <w:rFonts w:hint="eastAsia" w:ascii="宋体" w:hAnsi="宋体" w:eastAsia="宋体" w:cs="宋体"/>
                      <w:sz w:val="21"/>
                      <w:szCs w:val="21"/>
                    </w:rPr>
                    <w:t>组长单位</w:t>
                  </w:r>
                </w:p>
              </w:tc>
              <w:tc>
                <w:tcPr>
                  <w:tcW w:w="2122" w:type="pct"/>
                  <w:vAlign w:val="center"/>
                </w:tcPr>
                <w:p>
                  <w:pPr>
                    <w:spacing w:line="360" w:lineRule="exact"/>
                    <w:rPr>
                      <w:rFonts w:ascii="宋体" w:hAnsi="宋体" w:eastAsia="宋体" w:cs="宋体"/>
                      <w:sz w:val="21"/>
                      <w:szCs w:val="21"/>
                    </w:rPr>
                  </w:pPr>
                  <w:r>
                    <w:rPr>
                      <w:rFonts w:hint="eastAsia" w:ascii="宋体" w:hAnsi="宋体" w:eastAsia="宋体" w:cs="宋体"/>
                      <w:sz w:val="21"/>
                      <w:szCs w:val="21"/>
                    </w:rPr>
                    <w:t>中国网络安全审查认证和市场监管大数据中心</w:t>
                  </w:r>
                </w:p>
              </w:tc>
              <w:tc>
                <w:tcPr>
                  <w:tcW w:w="2297" w:type="pct"/>
                </w:tcPr>
                <w:p>
                  <w:pPr>
                    <w:spacing w:line="360" w:lineRule="exact"/>
                    <w:rPr>
                      <w:rFonts w:ascii="宋体" w:hAnsi="宋体" w:eastAsia="宋体" w:cs="宋体"/>
                      <w:sz w:val="21"/>
                      <w:szCs w:val="21"/>
                    </w:rPr>
                  </w:pPr>
                  <w:r>
                    <w:rPr>
                      <w:rFonts w:hint="eastAsia" w:ascii="宋体" w:hAnsi="宋体" w:eastAsia="宋体" w:cs="宋体"/>
                      <w:sz w:val="21"/>
                      <w:szCs w:val="21"/>
                    </w:rPr>
                    <w:t>负责标准整体设计</w:t>
                  </w:r>
                  <w:r>
                    <w:rPr>
                      <w:rFonts w:hint="eastAsia" w:ascii="宋体" w:hAnsi="宋体" w:eastAsia="宋体" w:cs="宋体"/>
                      <w:sz w:val="21"/>
                      <w:szCs w:val="21"/>
                      <w:lang w:eastAsia="zh-CN"/>
                    </w:rPr>
                    <w:t>和工作统筹组织，负责</w:t>
                  </w:r>
                  <w:r>
                    <w:rPr>
                      <w:rFonts w:hint="eastAsia" w:ascii="宋体" w:hAnsi="宋体" w:eastAsia="宋体" w:cs="宋体"/>
                      <w:sz w:val="21"/>
                      <w:szCs w:val="21"/>
                    </w:rPr>
                    <w:t>标准</w:t>
                  </w:r>
                  <w:r>
                    <w:rPr>
                      <w:rFonts w:hint="eastAsia" w:ascii="宋体" w:hAnsi="宋体" w:eastAsia="宋体" w:cs="宋体"/>
                      <w:sz w:val="21"/>
                      <w:szCs w:val="21"/>
                      <w:lang w:eastAsia="zh-CN"/>
                    </w:rPr>
                    <w:t>具体</w:t>
                  </w:r>
                  <w:r>
                    <w:rPr>
                      <w:rFonts w:hint="eastAsia" w:ascii="宋体" w:hAnsi="宋体" w:eastAsia="宋体" w:cs="宋体"/>
                      <w:sz w:val="21"/>
                      <w:szCs w:val="21"/>
                    </w:rPr>
                    <w:t>制定全过程</w:t>
                  </w:r>
                  <w:r>
                    <w:rPr>
                      <w:rFonts w:hint="default" w:ascii="宋体" w:hAnsi="宋体" w:eastAsia="宋体" w:cs="宋体"/>
                      <w:sz w:val="21"/>
                      <w:szCs w:val="21"/>
                      <w:lang w:val="en-US"/>
                    </w:rPr>
                    <w:t>,</w:t>
                  </w:r>
                  <w:r>
                    <w:rPr>
                      <w:rFonts w:hint="eastAsia" w:ascii="宋体" w:hAnsi="宋体" w:eastAsia="宋体" w:cs="宋体"/>
                      <w:sz w:val="21"/>
                      <w:szCs w:val="21"/>
                      <w:lang w:val="en-US" w:eastAsia="zh-CN"/>
                    </w:rPr>
                    <w:t>包含</w:t>
                  </w:r>
                  <w:r>
                    <w:rPr>
                      <w:rFonts w:hint="eastAsia" w:ascii="宋体" w:hAnsi="宋体" w:eastAsia="宋体" w:cs="宋体"/>
                      <w:sz w:val="21"/>
                      <w:szCs w:val="21"/>
                    </w:rPr>
                    <w:t>的整体格式框架确认、信息模型、指标体系以及代码表的编制</w:t>
                  </w:r>
                  <w:r>
                    <w:rPr>
                      <w:rFonts w:hint="eastAsia" w:ascii="宋体" w:hAnsi="宋体" w:eastAsia="宋体" w:cs="宋体"/>
                      <w:sz w:val="21"/>
                      <w:szCs w:val="21"/>
                      <w:lang w:eastAsia="zh-CN"/>
                    </w:rPr>
                    <w:t>以及相关程序性工作</w:t>
                  </w:r>
                </w:p>
              </w:tc>
            </w:tr>
            <w:bookmarkEnd w:id="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pct"/>
                  <w:vMerge w:val="restart"/>
                  <w:vAlign w:val="center"/>
                </w:tcPr>
                <w:p>
                  <w:pPr>
                    <w:spacing w:line="360" w:lineRule="exact"/>
                    <w:rPr>
                      <w:rFonts w:ascii="宋体" w:hAnsi="宋体" w:eastAsia="宋体" w:cs="宋体"/>
                      <w:sz w:val="21"/>
                      <w:szCs w:val="21"/>
                    </w:rPr>
                  </w:pPr>
                  <w:r>
                    <w:rPr>
                      <w:rFonts w:hint="eastAsia" w:ascii="宋体" w:hAnsi="宋体" w:eastAsia="宋体" w:cs="宋体"/>
                      <w:sz w:val="21"/>
                      <w:szCs w:val="21"/>
                    </w:rPr>
                    <w:t>成员单位</w:t>
                  </w:r>
                </w:p>
              </w:tc>
              <w:tc>
                <w:tcPr>
                  <w:tcW w:w="2122" w:type="pct"/>
                  <w:vAlign w:val="center"/>
                </w:tcPr>
                <w:p>
                  <w:pPr>
                    <w:spacing w:line="360" w:lineRule="exact"/>
                    <w:rPr>
                      <w:rFonts w:ascii="宋体" w:hAnsi="宋体" w:eastAsia="宋体" w:cs="宋体"/>
                      <w:sz w:val="21"/>
                      <w:szCs w:val="21"/>
                    </w:rPr>
                  </w:pPr>
                  <w:r>
                    <w:rPr>
                      <w:rFonts w:hint="eastAsia" w:ascii="宋体" w:hAnsi="宋体" w:eastAsia="宋体" w:cs="宋体"/>
                      <w:sz w:val="21"/>
                      <w:szCs w:val="21"/>
                    </w:rPr>
                    <w:t>中国标准化研究院</w:t>
                  </w:r>
                </w:p>
              </w:tc>
              <w:tc>
                <w:tcPr>
                  <w:tcW w:w="2297" w:type="pct"/>
                </w:tcPr>
                <w:p>
                  <w:pPr>
                    <w:spacing w:line="360" w:lineRule="exact"/>
                    <w:rPr>
                      <w:rFonts w:ascii="宋体" w:hAnsi="宋体" w:eastAsia="宋体" w:cs="宋体"/>
                      <w:sz w:val="21"/>
                      <w:szCs w:val="21"/>
                    </w:rPr>
                  </w:pPr>
                  <w:r>
                    <w:rPr>
                      <w:rFonts w:hint="eastAsia" w:ascii="宋体" w:hAnsi="宋体" w:eastAsia="宋体" w:cs="宋体"/>
                      <w:sz w:val="21"/>
                      <w:szCs w:val="21"/>
                    </w:rPr>
                    <w:t>重点参与标准的信息模型、指标体系以及代码表的编制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pct"/>
                  <w:vMerge w:val="continue"/>
                  <w:vAlign w:val="center"/>
                </w:tcPr>
                <w:p>
                  <w:pPr>
                    <w:spacing w:line="360" w:lineRule="exact"/>
                    <w:rPr>
                      <w:rFonts w:ascii="宋体" w:hAnsi="宋体" w:eastAsia="宋体" w:cs="宋体"/>
                      <w:sz w:val="21"/>
                      <w:szCs w:val="21"/>
                    </w:rPr>
                  </w:pPr>
                </w:p>
              </w:tc>
              <w:tc>
                <w:tcPr>
                  <w:tcW w:w="2122" w:type="pct"/>
                  <w:vAlign w:val="center"/>
                </w:tcPr>
                <w:p>
                  <w:pPr>
                    <w:spacing w:line="360" w:lineRule="exact"/>
                    <w:rPr>
                      <w:rFonts w:ascii="宋体" w:hAnsi="宋体" w:eastAsia="宋体" w:cs="宋体"/>
                      <w:sz w:val="21"/>
                      <w:szCs w:val="21"/>
                    </w:rPr>
                  </w:pPr>
                  <w:r>
                    <w:rPr>
                      <w:rFonts w:hint="eastAsia" w:ascii="宋体" w:hAnsi="宋体" w:eastAsia="宋体" w:cs="宋体"/>
                      <w:sz w:val="21"/>
                      <w:szCs w:val="21"/>
                    </w:rPr>
                    <w:t>四川省市场监督管理局数据应用中心</w:t>
                  </w:r>
                </w:p>
              </w:tc>
              <w:tc>
                <w:tcPr>
                  <w:tcW w:w="2297" w:type="pct"/>
                </w:tcPr>
                <w:p>
                  <w:pPr>
                    <w:spacing w:line="360" w:lineRule="exact"/>
                    <w:rPr>
                      <w:rFonts w:ascii="宋体" w:hAnsi="宋体" w:eastAsia="宋体" w:cs="宋体"/>
                      <w:sz w:val="21"/>
                      <w:szCs w:val="21"/>
                    </w:rPr>
                  </w:pPr>
                  <w:r>
                    <w:rPr>
                      <w:rFonts w:hint="eastAsia" w:ascii="宋体" w:hAnsi="宋体" w:eastAsia="宋体" w:cs="宋体"/>
                      <w:sz w:val="21"/>
                      <w:szCs w:val="21"/>
                    </w:rPr>
                    <w:t>重点参与指标体系以及代码的编制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pct"/>
                  <w:vMerge w:val="continue"/>
                  <w:vAlign w:val="center"/>
                </w:tcPr>
                <w:p>
                  <w:pPr>
                    <w:spacing w:line="360" w:lineRule="exact"/>
                    <w:rPr>
                      <w:rFonts w:ascii="宋体" w:hAnsi="宋体" w:eastAsia="宋体" w:cs="宋体"/>
                      <w:sz w:val="21"/>
                      <w:szCs w:val="21"/>
                    </w:rPr>
                  </w:pPr>
                </w:p>
              </w:tc>
              <w:tc>
                <w:tcPr>
                  <w:tcW w:w="2122" w:type="pct"/>
                  <w:vAlign w:val="center"/>
                </w:tcPr>
                <w:p>
                  <w:pPr>
                    <w:spacing w:line="360" w:lineRule="exact"/>
                    <w:rPr>
                      <w:rFonts w:ascii="宋体" w:hAnsi="宋体" w:eastAsia="宋体" w:cs="宋体"/>
                      <w:sz w:val="21"/>
                      <w:szCs w:val="21"/>
                    </w:rPr>
                  </w:pPr>
                  <w:r>
                    <w:rPr>
                      <w:rFonts w:hint="eastAsia" w:ascii="宋体" w:hAnsi="宋体" w:eastAsia="宋体" w:cs="宋体"/>
                      <w:sz w:val="21"/>
                      <w:szCs w:val="21"/>
                    </w:rPr>
                    <w:t>中国质量检验检测科学研究院</w:t>
                  </w:r>
                </w:p>
              </w:tc>
              <w:tc>
                <w:tcPr>
                  <w:tcW w:w="2297" w:type="pct"/>
                </w:tcPr>
                <w:p>
                  <w:pPr>
                    <w:spacing w:line="360" w:lineRule="exact"/>
                    <w:rPr>
                      <w:rFonts w:ascii="宋体" w:hAnsi="宋体" w:eastAsia="宋体" w:cs="宋体"/>
                      <w:sz w:val="21"/>
                      <w:szCs w:val="21"/>
                    </w:rPr>
                  </w:pPr>
                  <w:r>
                    <w:rPr>
                      <w:rFonts w:hint="eastAsia" w:ascii="宋体" w:hAnsi="宋体" w:eastAsia="宋体" w:cs="宋体"/>
                      <w:sz w:val="21"/>
                      <w:szCs w:val="21"/>
                    </w:rPr>
                    <w:t>重点参与前言及1范围内容、术语和定义等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pct"/>
                  <w:vMerge w:val="continue"/>
                  <w:vAlign w:val="center"/>
                </w:tcPr>
                <w:p>
                  <w:pPr>
                    <w:spacing w:line="360" w:lineRule="exact"/>
                    <w:rPr>
                      <w:rFonts w:ascii="宋体" w:hAnsi="宋体" w:eastAsia="宋体" w:cs="宋体"/>
                      <w:sz w:val="21"/>
                      <w:szCs w:val="21"/>
                    </w:rPr>
                  </w:pPr>
                </w:p>
              </w:tc>
              <w:tc>
                <w:tcPr>
                  <w:tcW w:w="2122" w:type="pct"/>
                  <w:vAlign w:val="center"/>
                </w:tcPr>
                <w:p>
                  <w:pPr>
                    <w:spacing w:line="360" w:lineRule="exact"/>
                    <w:rPr>
                      <w:rFonts w:ascii="宋体" w:hAnsi="宋体" w:eastAsia="宋体" w:cs="宋体"/>
                      <w:sz w:val="21"/>
                      <w:szCs w:val="21"/>
                    </w:rPr>
                  </w:pPr>
                  <w:r>
                    <w:rPr>
                      <w:rFonts w:hint="eastAsia" w:ascii="宋体" w:hAnsi="宋体" w:eastAsia="宋体" w:cs="宋体"/>
                      <w:sz w:val="21"/>
                      <w:szCs w:val="21"/>
                    </w:rPr>
                    <w:t>新长城科技有限公司</w:t>
                  </w:r>
                </w:p>
              </w:tc>
              <w:tc>
                <w:tcPr>
                  <w:tcW w:w="2297" w:type="pct"/>
                </w:tcPr>
                <w:p>
                  <w:pPr>
                    <w:spacing w:line="360" w:lineRule="exact"/>
                    <w:rPr>
                      <w:rFonts w:ascii="宋体" w:hAnsi="宋体" w:eastAsia="宋体" w:cs="宋体"/>
                      <w:sz w:val="21"/>
                      <w:szCs w:val="21"/>
                    </w:rPr>
                  </w:pPr>
                  <w:r>
                    <w:rPr>
                      <w:rFonts w:hint="eastAsia" w:ascii="宋体" w:hAnsi="宋体" w:eastAsia="宋体" w:cs="宋体"/>
                      <w:sz w:val="21"/>
                      <w:szCs w:val="21"/>
                    </w:rPr>
                    <w:t>重点参与指标体系以及代码的数据格式和其他数据属性的修改</w:t>
                  </w:r>
                </w:p>
              </w:tc>
            </w:tr>
          </w:tbl>
          <w:p>
            <w:pPr>
              <w:spacing w:line="360" w:lineRule="exact"/>
              <w:rPr>
                <w:rFonts w:hint="eastAsia"/>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2604"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3.2 起草阶段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spacing w:line="360" w:lineRule="exact"/>
              <w:rPr>
                <w:rFonts w:hint="eastAsia" w:cs="等线" w:asciiTheme="majorEastAsia" w:hAnsiTheme="majorEastAsia" w:eastAsiaTheme="majorEastAsia"/>
                <w:color w:val="000000"/>
                <w:sz w:val="21"/>
                <w:szCs w:val="21"/>
                <w:lang w:val="en-US" w:eastAsia="zh-CN"/>
              </w:rPr>
            </w:pPr>
            <w:r>
              <w:rPr>
                <w:rFonts w:hint="eastAsia" w:cs="等线" w:asciiTheme="majorEastAsia" w:hAnsiTheme="majorEastAsia" w:eastAsiaTheme="majorEastAsia"/>
                <w:color w:val="000000"/>
                <w:sz w:val="21"/>
                <w:szCs w:val="21"/>
              </w:rPr>
              <w:t>标准起草过程，起草组结合前期的工作基础和成熟研究，多次召开了组内标准编制讨论会，进行了大调研、资料分析梳理，并以不同形式征询了来自各标准相关方的意见，对标准立项草案、讨论稿反复修改、完善和提升，对意见进行了汇总、整理和吸收完善，于2025年</w:t>
            </w:r>
            <w:r>
              <w:rPr>
                <w:rFonts w:hint="eastAsia" w:cs="等线" w:asciiTheme="majorEastAsia" w:hAnsiTheme="majorEastAsia" w:eastAsiaTheme="majorEastAsia"/>
                <w:color w:val="000000"/>
                <w:sz w:val="21"/>
                <w:szCs w:val="21"/>
                <w:lang w:val="en-US" w:eastAsia="zh-CN"/>
              </w:rPr>
              <w:t>11</w:t>
            </w:r>
            <w:r>
              <w:rPr>
                <w:rFonts w:hint="eastAsia" w:cs="等线" w:asciiTheme="majorEastAsia" w:hAnsiTheme="majorEastAsia" w:eastAsiaTheme="majorEastAsia"/>
                <w:color w:val="000000"/>
                <w:sz w:val="21"/>
                <w:szCs w:val="21"/>
              </w:rPr>
              <w:t>月形成了标准征求意见稿</w:t>
            </w:r>
            <w:r>
              <w:rPr>
                <w:rFonts w:hint="eastAsia" w:cs="等线" w:asciiTheme="majorEastAsia" w:hAnsiTheme="majorEastAsia" w:eastAsiaTheme="majorEastAsia"/>
                <w:color w:val="000000"/>
                <w:sz w:val="21"/>
                <w:szCs w:val="21"/>
                <w:lang w:eastAsia="zh-CN"/>
              </w:rPr>
              <w:t>，并</w:t>
            </w:r>
            <w:r>
              <w:rPr>
                <w:rFonts w:hint="eastAsia" w:cs="等线" w:asciiTheme="majorEastAsia" w:hAnsiTheme="majorEastAsia" w:eastAsiaTheme="majorEastAsia"/>
                <w:color w:val="000000"/>
                <w:sz w:val="21"/>
                <w:szCs w:val="21"/>
                <w:lang w:val="en-US" w:eastAsia="zh-CN"/>
              </w:rPr>
              <w:t>致函主管司局餐饮食品司征求意见，餐饮食品司</w:t>
            </w:r>
            <w:r>
              <w:rPr>
                <w:rFonts w:hint="eastAsia" w:eastAsia="宋体"/>
                <w:color w:val="000000"/>
                <w:sz w:val="21"/>
                <w:szCs w:val="21"/>
                <w:lang w:eastAsia="zh-CN"/>
              </w:rPr>
              <w:t>反馈无意见</w:t>
            </w:r>
            <w:bookmarkStart w:id="4" w:name="_GoBack"/>
            <w:bookmarkEnd w:id="4"/>
            <w:r>
              <w:rPr>
                <w:rFonts w:hint="eastAsia" w:cs="等线" w:asciiTheme="majorEastAsia" w:hAnsiTheme="majorEastAsia" w:eastAsiaTheme="majorEastAsia"/>
                <w:color w:val="000000"/>
                <w:sz w:val="21"/>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3067"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3.3 征求意见阶段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3432"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3.4标准审查阶段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b/>
                <w:color w:val="000000"/>
                <w:sz w:val="21"/>
                <w:szCs w:val="21"/>
              </w:rPr>
              <w:t>4、主要技术内容的确定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6445"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spacing w:line="360" w:lineRule="exact"/>
              <w:ind w:firstLine="420" w:firstLineChars="200"/>
              <w:rPr>
                <w:rFonts w:ascii="宋体" w:hAnsi="宋体" w:eastAsia="宋体" w:cs="宋体"/>
                <w:sz w:val="21"/>
                <w:szCs w:val="21"/>
              </w:rPr>
            </w:pPr>
            <w:r>
              <w:rPr>
                <w:rFonts w:hint="eastAsia" w:ascii="宋体" w:hAnsi="宋体" w:eastAsia="宋体" w:cs="宋体"/>
                <w:sz w:val="21"/>
                <w:szCs w:val="21"/>
              </w:rPr>
              <w:t>本项目旨在制定一套科学、合理、操作性强的食用农产品批发市场监管信息系统行业数据标准规范，涉及相关内容如下：</w:t>
            </w:r>
          </w:p>
          <w:p>
            <w:pPr>
              <w:spacing w:line="360" w:lineRule="exact"/>
              <w:ind w:firstLine="420" w:firstLineChars="200"/>
              <w:rPr>
                <w:rFonts w:ascii="宋体" w:hAnsi="宋体" w:eastAsia="宋体" w:cs="宋体"/>
                <w:sz w:val="21"/>
                <w:szCs w:val="21"/>
              </w:rPr>
            </w:pPr>
            <w:r>
              <w:rPr>
                <w:rFonts w:hint="eastAsia" w:ascii="宋体" w:hAnsi="宋体" w:eastAsia="宋体" w:cs="宋体"/>
                <w:sz w:val="21"/>
                <w:szCs w:val="21"/>
              </w:rPr>
              <w:t>统一数据标准：建立统一的数据采集、处理、传输和存储标准，确保不同地区、不同环节的数据能够无缝对接和交换。</w:t>
            </w:r>
          </w:p>
          <w:p>
            <w:pPr>
              <w:spacing w:line="360" w:lineRule="exact"/>
              <w:ind w:firstLine="420" w:firstLineChars="200"/>
              <w:rPr>
                <w:rFonts w:ascii="宋体" w:hAnsi="宋体" w:eastAsia="宋体" w:cs="宋体"/>
                <w:sz w:val="21"/>
                <w:szCs w:val="21"/>
              </w:rPr>
            </w:pPr>
            <w:r>
              <w:rPr>
                <w:rFonts w:hint="eastAsia" w:ascii="宋体" w:hAnsi="宋体" w:eastAsia="宋体" w:cs="宋体"/>
                <w:sz w:val="21"/>
                <w:szCs w:val="21"/>
              </w:rPr>
              <w:t>提高数据质量：通过规范数据的采集、录入和管理流程，提高数据的准确性、完整性和及时性。</w:t>
            </w:r>
          </w:p>
          <w:p>
            <w:pPr>
              <w:spacing w:line="360" w:lineRule="exact"/>
              <w:ind w:firstLine="420" w:firstLineChars="200"/>
              <w:rPr>
                <w:rFonts w:ascii="宋体" w:hAnsi="宋体" w:eastAsia="宋体" w:cs="宋体"/>
                <w:sz w:val="21"/>
                <w:szCs w:val="21"/>
              </w:rPr>
            </w:pPr>
            <w:r>
              <w:rPr>
                <w:rFonts w:hint="eastAsia" w:ascii="宋体" w:hAnsi="宋体" w:eastAsia="宋体" w:cs="宋体"/>
                <w:sz w:val="21"/>
                <w:szCs w:val="21"/>
              </w:rPr>
              <w:t>促进信息共享：打破信息孤岛，实现监管部门、市场开办者、销售者之间的信息共享，提高监管协同效率。</w:t>
            </w:r>
          </w:p>
          <w:p>
            <w:pPr>
              <w:spacing w:line="360" w:lineRule="exact"/>
              <w:ind w:firstLine="420" w:firstLineChars="200"/>
              <w:rPr>
                <w:rFonts w:ascii="宋体" w:hAnsi="宋体" w:eastAsia="宋体" w:cs="宋体"/>
                <w:sz w:val="21"/>
                <w:szCs w:val="21"/>
              </w:rPr>
            </w:pPr>
            <w:r>
              <w:rPr>
                <w:rFonts w:hint="eastAsia" w:ascii="宋体" w:hAnsi="宋体" w:eastAsia="宋体" w:cs="宋体"/>
                <w:sz w:val="21"/>
                <w:szCs w:val="21"/>
              </w:rPr>
              <w:t>适应法律法规要求：确保数据标准规范与81号文等相关法律法规的要求相适应，为监管提供法律支撑。</w:t>
            </w:r>
          </w:p>
          <w:p>
            <w:pPr>
              <w:spacing w:line="360" w:lineRule="exact"/>
              <w:ind w:firstLine="420" w:firstLineChars="200"/>
              <w:rPr>
                <w:rFonts w:ascii="宋体" w:hAnsi="宋体" w:eastAsia="宋体" w:cs="宋体"/>
                <w:sz w:val="21"/>
                <w:szCs w:val="21"/>
              </w:rPr>
            </w:pPr>
            <w:r>
              <w:rPr>
                <w:rFonts w:hint="eastAsia" w:ascii="宋体" w:hAnsi="宋体" w:eastAsia="宋体" w:cs="宋体"/>
                <w:sz w:val="21"/>
                <w:szCs w:val="21"/>
              </w:rPr>
              <w:t>通过本项目的实施，将为食用农产品批发市场监管信息系统的建设提供坚实的数据基础，为提升我国食用农产品质量安全监管水平做出贡献。</w:t>
            </w:r>
          </w:p>
          <w:p>
            <w:pPr>
              <w:spacing w:line="360" w:lineRule="exact"/>
              <w:ind w:firstLine="420" w:firstLineChars="200"/>
              <w:rPr>
                <w:rFonts w:asciiTheme="majorEastAsia" w:hAnsiTheme="majorEastAsia" w:eastAsiaTheme="majorEastAsia"/>
                <w:sz w:val="21"/>
                <w:szCs w:val="21"/>
              </w:rPr>
            </w:pPr>
            <w:r>
              <w:rPr>
                <w:rFonts w:hint="eastAsia" w:ascii="宋体" w:hAnsi="宋体" w:eastAsia="宋体" w:cs="宋体"/>
                <w:sz w:val="21"/>
                <w:szCs w:val="21"/>
              </w:rPr>
              <w:t>本标准主要内容主要包括农批市场开办者、入场销售经营者等信息涉及的数据指标体系，包括对指标项的名称、字段名、数据类型及格式、指标项所使用代码的标识符、指标项所遵循数据元的标识符等属性进行定义，主要信息包括：市场开办者信息、食品安全管理人员信息、检测品种和项目信息、入场销售者建档信息、主要的供货渠道信息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b/>
                <w:color w:val="000000"/>
                <w:sz w:val="21"/>
                <w:szCs w:val="21"/>
              </w:rPr>
              <w:t>5、验证情况（适用时填写）</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06" w:hRule="atLeast"/>
        </w:trPr>
        <w:tc>
          <w:tcPr>
            <w:tcW w:w="1773" w:type="dxa"/>
            <w:vMerge w:val="restart"/>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5.1 验证单位情况</w:t>
            </w: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验证单位</w:t>
            </w:r>
          </w:p>
        </w:tc>
        <w:tc>
          <w:tcPr>
            <w:tcW w:w="2597" w:type="dxa"/>
            <w:gridSpan w:val="5"/>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验证人员</w:t>
            </w:r>
          </w:p>
        </w:tc>
        <w:tc>
          <w:tcPr>
            <w:tcW w:w="304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验证时间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2" w:hRule="atLeast"/>
        </w:trPr>
        <w:tc>
          <w:tcPr>
            <w:tcW w:w="300"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2597" w:type="dxa"/>
            <w:gridSpan w:val="5"/>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304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 xml:space="preserve"> 年    月    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2" w:hRule="atLeast"/>
        </w:trPr>
        <w:tc>
          <w:tcPr>
            <w:tcW w:w="300"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2597" w:type="dxa"/>
            <w:gridSpan w:val="5"/>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304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年    月    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04" w:hRule="atLeast"/>
        </w:trPr>
        <w:tc>
          <w:tcPr>
            <w:tcW w:w="300"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2597" w:type="dxa"/>
            <w:gridSpan w:val="5"/>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304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 xml:space="preserve"> 年    月    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0" w:hRule="atLeast"/>
        </w:trPr>
        <w:tc>
          <w:tcPr>
            <w:tcW w:w="300"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2597" w:type="dxa"/>
            <w:gridSpan w:val="5"/>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304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 xml:space="preserve"> 年    月    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658"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5.2 验证过程</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2108"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5.3 验证数据分析</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310"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5.4 验证评价</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367"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5.5 其他应说明的情况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b/>
                <w:color w:val="000000"/>
                <w:sz w:val="21"/>
                <w:szCs w:val="21"/>
              </w:rPr>
              <w:t>6、附加说明（可选）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351"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6.1 宣贯标准的</w:t>
            </w:r>
          </w:p>
          <w:p>
            <w:pPr>
              <w:jc w:val="center"/>
              <w:rPr>
                <w:rFonts w:eastAsia="等线" w:cs="等线"/>
                <w:color w:val="000000"/>
                <w:sz w:val="21"/>
                <w:szCs w:val="21"/>
              </w:rPr>
            </w:pPr>
            <w:r>
              <w:rPr>
                <w:rFonts w:hint="eastAsia" w:eastAsia="等线" w:cs="等线"/>
                <w:color w:val="000000"/>
                <w:sz w:val="21"/>
                <w:szCs w:val="21"/>
              </w:rPr>
              <w:t>建议</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165"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6.2 修订和废除现行有关标准的建议</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328"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w:t>
            </w:r>
            <w:r>
              <w:rPr>
                <w:rFonts w:eastAsia="等线" w:cs="等线"/>
                <w:color w:val="000000"/>
                <w:sz w:val="21"/>
                <w:szCs w:val="21"/>
              </w:rPr>
              <w:t xml:space="preserve">.3 </w:t>
            </w:r>
            <w:r>
              <w:rPr>
                <w:rFonts w:hint="eastAsia" w:eastAsia="等线" w:cs="等线"/>
                <w:color w:val="000000"/>
                <w:sz w:val="21"/>
                <w:szCs w:val="21"/>
              </w:rPr>
              <w:t>作为强制性标准或推荐性标准的建议</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180"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6.4 其他需要说明的情况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083"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6.5 参考文献</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01"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联系人</w:t>
            </w:r>
          </w:p>
        </w:tc>
        <w:tc>
          <w:tcPr>
            <w:tcW w:w="1346"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袁刚</w:t>
            </w:r>
          </w:p>
        </w:tc>
        <w:tc>
          <w:tcPr>
            <w:tcW w:w="138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联系电话</w:t>
            </w:r>
          </w:p>
        </w:tc>
        <w:tc>
          <w:tcPr>
            <w:tcW w:w="1646"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010-88651783</w:t>
            </w:r>
          </w:p>
        </w:tc>
        <w:tc>
          <w:tcPr>
            <w:tcW w:w="132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电子邮箱</w:t>
            </w:r>
          </w:p>
        </w:tc>
        <w:tc>
          <w:tcPr>
            <w:tcW w:w="1907"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yuangang@samr.gov.cn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122"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adjustRightInd w:val="0"/>
              <w:spacing w:before="60" w:line="360" w:lineRule="auto"/>
              <w:ind w:firstLine="440" w:firstLineChars="210"/>
              <w:rPr>
                <w:rFonts w:eastAsia="等线" w:cs="等线"/>
                <w:color w:val="000000"/>
                <w:sz w:val="21"/>
                <w:szCs w:val="21"/>
              </w:rPr>
            </w:pPr>
            <w:r>
              <w:rPr>
                <w:rFonts w:hint="eastAsia" w:eastAsia="等线" w:cs="等线"/>
                <w:color w:val="000000"/>
                <w:sz w:val="21"/>
                <w:szCs w:val="21"/>
              </w:rPr>
              <w:t>注：1</w:t>
            </w:r>
            <w:r>
              <w:rPr>
                <w:rFonts w:eastAsia="等线" w:cs="等线"/>
                <w:color w:val="000000"/>
                <w:sz w:val="21"/>
                <w:szCs w:val="21"/>
              </w:rPr>
              <w:t>.</w:t>
            </w:r>
            <w:r>
              <w:rPr>
                <w:rFonts w:hint="eastAsia" w:eastAsia="等线" w:cs="等线"/>
                <w:color w:val="000000"/>
                <w:sz w:val="21"/>
                <w:szCs w:val="21"/>
              </w:rPr>
              <w:t>本格式的通用部分为第1章、第2章、第4章和第6章。</w:t>
            </w:r>
          </w:p>
          <w:p>
            <w:pPr>
              <w:ind w:firstLine="840" w:firstLineChars="400"/>
              <w:rPr>
                <w:rFonts w:eastAsia="等线" w:cs="等线"/>
                <w:color w:val="000000"/>
                <w:sz w:val="21"/>
                <w:szCs w:val="21"/>
              </w:rPr>
            </w:pPr>
            <w:r>
              <w:rPr>
                <w:rFonts w:hint="eastAsia" w:eastAsia="等线" w:cs="等线"/>
                <w:color w:val="000000"/>
                <w:sz w:val="21"/>
                <w:szCs w:val="21"/>
              </w:rPr>
              <w:t>2</w:t>
            </w:r>
            <w:r>
              <w:rPr>
                <w:rFonts w:eastAsia="等线" w:cs="等线"/>
                <w:color w:val="000000"/>
                <w:sz w:val="21"/>
                <w:szCs w:val="21"/>
              </w:rPr>
              <w:t>.</w:t>
            </w:r>
            <w:r>
              <w:rPr>
                <w:rFonts w:hint="eastAsia" w:eastAsia="等线" w:cs="等线"/>
                <w:color w:val="000000"/>
                <w:sz w:val="21"/>
                <w:szCs w:val="21"/>
              </w:rPr>
              <w:t>第</w:t>
            </w:r>
            <w:r>
              <w:rPr>
                <w:rFonts w:eastAsia="等线" w:cs="等线"/>
                <w:color w:val="000000"/>
                <w:sz w:val="21"/>
                <w:szCs w:val="21"/>
              </w:rPr>
              <w:t>5</w:t>
            </w:r>
            <w:r>
              <w:rPr>
                <w:rFonts w:hint="eastAsia" w:eastAsia="等线" w:cs="等线"/>
                <w:color w:val="000000"/>
                <w:sz w:val="21"/>
                <w:szCs w:val="21"/>
              </w:rPr>
              <w:t>章和第6章为可选项，其余为必填项。</w:t>
            </w:r>
          </w:p>
          <w:p>
            <w:pPr>
              <w:ind w:firstLine="420" w:firstLineChars="200"/>
              <w:rPr>
                <w:rFonts w:eastAsia="等线" w:cs="等线"/>
                <w:color w:val="000000"/>
                <w:sz w:val="21"/>
                <w:szCs w:val="21"/>
              </w:rPr>
            </w:pPr>
          </w:p>
          <w:p>
            <w:pPr>
              <w:ind w:firstLine="420" w:firstLineChars="200"/>
              <w:rPr>
                <w:rFonts w:eastAsia="等线" w:cs="等线"/>
                <w:color w:val="000000"/>
                <w:sz w:val="21"/>
                <w:szCs w:val="21"/>
              </w:rPr>
            </w:pPr>
          </w:p>
          <w:p>
            <w:pPr>
              <w:ind w:firstLine="420" w:firstLineChars="200"/>
              <w:rPr>
                <w:rFonts w:eastAsia="等线" w:cs="等线"/>
                <w:color w:val="000000"/>
                <w:sz w:val="21"/>
                <w:szCs w:val="21"/>
              </w:rPr>
            </w:pPr>
          </w:p>
          <w:p>
            <w:pPr>
              <w:ind w:firstLine="420" w:firstLineChars="200"/>
              <w:rPr>
                <w:rFonts w:eastAsia="等线" w:cs="等线"/>
                <w:color w:val="000000"/>
                <w:sz w:val="21"/>
                <w:szCs w:val="21"/>
              </w:rPr>
            </w:pPr>
          </w:p>
          <w:p>
            <w:pPr>
              <w:ind w:firstLine="420" w:firstLineChars="200"/>
              <w:jc w:val="right"/>
              <w:rPr>
                <w:rFonts w:eastAsia="等线" w:cs="等线"/>
                <w:color w:val="000000"/>
                <w:sz w:val="21"/>
                <w:szCs w:val="21"/>
              </w:rPr>
            </w:pPr>
            <w:r>
              <w:rPr>
                <w:rFonts w:hint="eastAsia" w:eastAsia="等线" w:cs="等线"/>
                <w:color w:val="000000"/>
                <w:sz w:val="21"/>
                <w:szCs w:val="21"/>
              </w:rPr>
              <w:t>日期：    年    月    日</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仿宋简体">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doNotShadeFormData w:val="true"/>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VkMzVhMGJiMTFmMmE5MWU4ZmZjZjBmMDYyZjk5YmQifQ=="/>
  </w:docVars>
  <w:rsids>
    <w:rsidRoot w:val="00FA128F"/>
    <w:rsid w:val="00050611"/>
    <w:rsid w:val="0005098E"/>
    <w:rsid w:val="00130CFD"/>
    <w:rsid w:val="002112EE"/>
    <w:rsid w:val="00253D44"/>
    <w:rsid w:val="002B78ED"/>
    <w:rsid w:val="003202D8"/>
    <w:rsid w:val="00326E4B"/>
    <w:rsid w:val="003637DD"/>
    <w:rsid w:val="003D55AC"/>
    <w:rsid w:val="0042512C"/>
    <w:rsid w:val="00497532"/>
    <w:rsid w:val="00533A25"/>
    <w:rsid w:val="00534088"/>
    <w:rsid w:val="005B6CA7"/>
    <w:rsid w:val="005F3623"/>
    <w:rsid w:val="00602695"/>
    <w:rsid w:val="00740239"/>
    <w:rsid w:val="007651E6"/>
    <w:rsid w:val="008046DA"/>
    <w:rsid w:val="008064C5"/>
    <w:rsid w:val="008211A2"/>
    <w:rsid w:val="009061B8"/>
    <w:rsid w:val="009602BB"/>
    <w:rsid w:val="00B26CF2"/>
    <w:rsid w:val="00BE3E18"/>
    <w:rsid w:val="00C012E7"/>
    <w:rsid w:val="00C422A5"/>
    <w:rsid w:val="00C75811"/>
    <w:rsid w:val="00C857AB"/>
    <w:rsid w:val="00D118B7"/>
    <w:rsid w:val="00D41B68"/>
    <w:rsid w:val="00E044FA"/>
    <w:rsid w:val="00EB1AF4"/>
    <w:rsid w:val="00F64824"/>
    <w:rsid w:val="00F77960"/>
    <w:rsid w:val="00FA128F"/>
    <w:rsid w:val="02585560"/>
    <w:rsid w:val="02881F89"/>
    <w:rsid w:val="036B12C9"/>
    <w:rsid w:val="040A41B2"/>
    <w:rsid w:val="04AA094F"/>
    <w:rsid w:val="05E54EF8"/>
    <w:rsid w:val="063A5AF6"/>
    <w:rsid w:val="0663488F"/>
    <w:rsid w:val="06AE42ED"/>
    <w:rsid w:val="073A045E"/>
    <w:rsid w:val="0848014F"/>
    <w:rsid w:val="08752788"/>
    <w:rsid w:val="08E52245"/>
    <w:rsid w:val="08FB5D99"/>
    <w:rsid w:val="0AE57443"/>
    <w:rsid w:val="0B31206F"/>
    <w:rsid w:val="0BCC2F3B"/>
    <w:rsid w:val="0C9A5D95"/>
    <w:rsid w:val="0CAF784C"/>
    <w:rsid w:val="0EE0531B"/>
    <w:rsid w:val="10B44943"/>
    <w:rsid w:val="11657A0B"/>
    <w:rsid w:val="118D45D8"/>
    <w:rsid w:val="11E533D5"/>
    <w:rsid w:val="1236452E"/>
    <w:rsid w:val="13A846F6"/>
    <w:rsid w:val="13B13BC4"/>
    <w:rsid w:val="16AE1823"/>
    <w:rsid w:val="16B602BA"/>
    <w:rsid w:val="177A0F4B"/>
    <w:rsid w:val="179479FE"/>
    <w:rsid w:val="18556B08"/>
    <w:rsid w:val="187F1120"/>
    <w:rsid w:val="19292455"/>
    <w:rsid w:val="1A511666"/>
    <w:rsid w:val="1A9200D3"/>
    <w:rsid w:val="1AB20939"/>
    <w:rsid w:val="1B4258C0"/>
    <w:rsid w:val="1B7E152F"/>
    <w:rsid w:val="1C11121D"/>
    <w:rsid w:val="1C2B239C"/>
    <w:rsid w:val="1CA4553C"/>
    <w:rsid w:val="1D0128E9"/>
    <w:rsid w:val="1DB94FAF"/>
    <w:rsid w:val="1E0D77EC"/>
    <w:rsid w:val="1F7E5BBB"/>
    <w:rsid w:val="1F920946"/>
    <w:rsid w:val="20CB6377"/>
    <w:rsid w:val="219875A0"/>
    <w:rsid w:val="22183308"/>
    <w:rsid w:val="22932263"/>
    <w:rsid w:val="229A7A7F"/>
    <w:rsid w:val="22B63978"/>
    <w:rsid w:val="23364264"/>
    <w:rsid w:val="24426185"/>
    <w:rsid w:val="24DC68B5"/>
    <w:rsid w:val="25357D0A"/>
    <w:rsid w:val="25554BA6"/>
    <w:rsid w:val="265400F1"/>
    <w:rsid w:val="26AA6231"/>
    <w:rsid w:val="26B6792E"/>
    <w:rsid w:val="27987E81"/>
    <w:rsid w:val="27C17949"/>
    <w:rsid w:val="280466BF"/>
    <w:rsid w:val="28AB37C7"/>
    <w:rsid w:val="28BF53AF"/>
    <w:rsid w:val="28CF256B"/>
    <w:rsid w:val="290C5535"/>
    <w:rsid w:val="2ADC7F1C"/>
    <w:rsid w:val="2B295DEA"/>
    <w:rsid w:val="2B2D5475"/>
    <w:rsid w:val="2B407315"/>
    <w:rsid w:val="2BD5250B"/>
    <w:rsid w:val="2CDB1167"/>
    <w:rsid w:val="2D646E65"/>
    <w:rsid w:val="2E6604E2"/>
    <w:rsid w:val="2EFF62F8"/>
    <w:rsid w:val="2FF32D43"/>
    <w:rsid w:val="30FFF0ED"/>
    <w:rsid w:val="315B25C9"/>
    <w:rsid w:val="31B3658F"/>
    <w:rsid w:val="3200275B"/>
    <w:rsid w:val="32126FEE"/>
    <w:rsid w:val="321E0691"/>
    <w:rsid w:val="329E6A44"/>
    <w:rsid w:val="353D39A0"/>
    <w:rsid w:val="3642365E"/>
    <w:rsid w:val="36AD2BD6"/>
    <w:rsid w:val="37412F0C"/>
    <w:rsid w:val="377BAC37"/>
    <w:rsid w:val="37A634B4"/>
    <w:rsid w:val="37E54EE7"/>
    <w:rsid w:val="383C3C87"/>
    <w:rsid w:val="38A4279C"/>
    <w:rsid w:val="38B7566A"/>
    <w:rsid w:val="39D863DB"/>
    <w:rsid w:val="3A19018A"/>
    <w:rsid w:val="3A851CE4"/>
    <w:rsid w:val="3B3F0F23"/>
    <w:rsid w:val="3BD5178E"/>
    <w:rsid w:val="3BF27F68"/>
    <w:rsid w:val="3D297C7E"/>
    <w:rsid w:val="3D7A5C77"/>
    <w:rsid w:val="3DCC51D1"/>
    <w:rsid w:val="3DD00BB5"/>
    <w:rsid w:val="3F85559B"/>
    <w:rsid w:val="3FD431C3"/>
    <w:rsid w:val="3FDFF6F7"/>
    <w:rsid w:val="3FEC4BA6"/>
    <w:rsid w:val="405A31EA"/>
    <w:rsid w:val="405E3AFA"/>
    <w:rsid w:val="40673E54"/>
    <w:rsid w:val="40AB55DF"/>
    <w:rsid w:val="40B32349"/>
    <w:rsid w:val="41BD6756"/>
    <w:rsid w:val="41D519EF"/>
    <w:rsid w:val="423112EA"/>
    <w:rsid w:val="428D40A2"/>
    <w:rsid w:val="438A6561"/>
    <w:rsid w:val="4391045E"/>
    <w:rsid w:val="44933AA9"/>
    <w:rsid w:val="451C698D"/>
    <w:rsid w:val="45A74F64"/>
    <w:rsid w:val="45DC559C"/>
    <w:rsid w:val="46984281"/>
    <w:rsid w:val="477B544E"/>
    <w:rsid w:val="479D2B52"/>
    <w:rsid w:val="484B5427"/>
    <w:rsid w:val="490A07D9"/>
    <w:rsid w:val="4A965068"/>
    <w:rsid w:val="4AE136AF"/>
    <w:rsid w:val="4AE14DB8"/>
    <w:rsid w:val="4B922FC2"/>
    <w:rsid w:val="4B925A5A"/>
    <w:rsid w:val="4BC859A8"/>
    <w:rsid w:val="4D034250"/>
    <w:rsid w:val="4DD37F25"/>
    <w:rsid w:val="4E1D08A9"/>
    <w:rsid w:val="4E586160"/>
    <w:rsid w:val="4E922F64"/>
    <w:rsid w:val="4F3620ED"/>
    <w:rsid w:val="4F573CB2"/>
    <w:rsid w:val="4F7F3CC5"/>
    <w:rsid w:val="4FFD2277"/>
    <w:rsid w:val="51453A55"/>
    <w:rsid w:val="516C4F62"/>
    <w:rsid w:val="51B76E1F"/>
    <w:rsid w:val="51B82158"/>
    <w:rsid w:val="51C65294"/>
    <w:rsid w:val="52403DF8"/>
    <w:rsid w:val="53CC42C3"/>
    <w:rsid w:val="53FA5EC0"/>
    <w:rsid w:val="54276B25"/>
    <w:rsid w:val="54341262"/>
    <w:rsid w:val="570E6481"/>
    <w:rsid w:val="57785009"/>
    <w:rsid w:val="58C455EA"/>
    <w:rsid w:val="5B0E021D"/>
    <w:rsid w:val="5D2A3B6F"/>
    <w:rsid w:val="5DF878F6"/>
    <w:rsid w:val="5E857B5E"/>
    <w:rsid w:val="60647A74"/>
    <w:rsid w:val="612B2779"/>
    <w:rsid w:val="61571C02"/>
    <w:rsid w:val="61984230"/>
    <w:rsid w:val="619D0B77"/>
    <w:rsid w:val="629D46B5"/>
    <w:rsid w:val="63C25B2E"/>
    <w:rsid w:val="64410E4C"/>
    <w:rsid w:val="64A40FC0"/>
    <w:rsid w:val="64C31DA5"/>
    <w:rsid w:val="658E052F"/>
    <w:rsid w:val="65E2FE4F"/>
    <w:rsid w:val="666279CF"/>
    <w:rsid w:val="67CC6A64"/>
    <w:rsid w:val="689A2ED2"/>
    <w:rsid w:val="696B6C9F"/>
    <w:rsid w:val="6AA62C60"/>
    <w:rsid w:val="6B576C33"/>
    <w:rsid w:val="6C4B308E"/>
    <w:rsid w:val="6D08109F"/>
    <w:rsid w:val="6D142541"/>
    <w:rsid w:val="6DDF8048"/>
    <w:rsid w:val="6DED2EC2"/>
    <w:rsid w:val="6EB77451"/>
    <w:rsid w:val="6F2F125E"/>
    <w:rsid w:val="707261C5"/>
    <w:rsid w:val="708615F7"/>
    <w:rsid w:val="71161D2A"/>
    <w:rsid w:val="716B30BF"/>
    <w:rsid w:val="729F2FE4"/>
    <w:rsid w:val="72DD7BB7"/>
    <w:rsid w:val="72E11039"/>
    <w:rsid w:val="73394925"/>
    <w:rsid w:val="73CB20D5"/>
    <w:rsid w:val="7474180A"/>
    <w:rsid w:val="768235F7"/>
    <w:rsid w:val="76D94C8A"/>
    <w:rsid w:val="77AE2DC1"/>
    <w:rsid w:val="77B7D035"/>
    <w:rsid w:val="77C61DD1"/>
    <w:rsid w:val="79405401"/>
    <w:rsid w:val="7A23502E"/>
    <w:rsid w:val="7A3D74CF"/>
    <w:rsid w:val="7A4152D8"/>
    <w:rsid w:val="7A532747"/>
    <w:rsid w:val="7CAE2319"/>
    <w:rsid w:val="7D6F6546"/>
    <w:rsid w:val="7DFF3469"/>
    <w:rsid w:val="7E3668D4"/>
    <w:rsid w:val="7E4F75B6"/>
    <w:rsid w:val="7F037706"/>
    <w:rsid w:val="7F2F199C"/>
    <w:rsid w:val="ACEA0FF1"/>
    <w:rsid w:val="AFEF209D"/>
    <w:rsid w:val="BE742098"/>
    <w:rsid w:val="CDFF1CB9"/>
    <w:rsid w:val="D73FA799"/>
    <w:rsid w:val="EAFF9E34"/>
    <w:rsid w:val="ECFF0EED"/>
    <w:rsid w:val="FCECF8AE"/>
    <w:rsid w:val="FFFD5CFF"/>
    <w:rsid w:val="FFFFC8A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topLinePunct/>
      <w:jc w:val="both"/>
    </w:pPr>
    <w:rPr>
      <w:rFonts w:ascii="Times New Roman" w:hAnsi="Times New Roman" w:eastAsia="仿宋_GB2312" w:cs="Times New Roman"/>
      <w:kern w:val="2"/>
      <w:sz w:val="32"/>
      <w:szCs w:val="3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sz w:val="18"/>
      <w:szCs w:val="18"/>
    </w:rPr>
  </w:style>
  <w:style w:type="paragraph" w:styleId="3">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styleId="6">
    <w:name w:val="Strong"/>
    <w:basedOn w:val="5"/>
    <w:qFormat/>
    <w:uiPriority w:val="22"/>
    <w:rPr>
      <w:b/>
      <w:bCs/>
    </w:rPr>
  </w:style>
  <w:style w:type="character" w:customStyle="1" w:styleId="7">
    <w:name w:val="页眉 字符"/>
    <w:basedOn w:val="5"/>
    <w:link w:val="3"/>
    <w:qFormat/>
    <w:uiPriority w:val="0"/>
    <w:rPr>
      <w:rFonts w:ascii="Times New Roman" w:hAnsi="Times New Roman" w:eastAsia="仿宋_GB2312" w:cs="Times New Roman"/>
      <w:kern w:val="2"/>
      <w:sz w:val="18"/>
      <w:szCs w:val="18"/>
    </w:rPr>
  </w:style>
  <w:style w:type="character" w:customStyle="1" w:styleId="8">
    <w:name w:val="页脚 字符"/>
    <w:basedOn w:val="5"/>
    <w:link w:val="2"/>
    <w:qFormat/>
    <w:uiPriority w:val="0"/>
    <w:rPr>
      <w:rFonts w:ascii="Times New Roman" w:hAnsi="Times New Roman" w:eastAsia="仿宋_GB2312"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584</Words>
  <Characters>3335</Characters>
  <Lines>27</Lines>
  <Paragraphs>7</Paragraphs>
  <TotalTime>3</TotalTime>
  <ScaleCrop>false</ScaleCrop>
  <LinksUpToDate>false</LinksUpToDate>
  <CharactersWithSpaces>3912</CharactersWithSpaces>
  <Application>WPS Office_11.8.2.10552_F1E327BC-269C-435d-A152-05C5408002CA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2025-09-12T17:49:00Z</dcterms:created>
  <dc:creator>buwei</dc:creator>
  <cp:lastModifiedBy>greatwall</cp:lastModifiedBy>
  <dcterms:modified xsi:type="dcterms:W3CDTF">2026-03-11T10:07:37Z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2052-11.8.2.10552</vt:lpwstr>
  </property>
  <property fmtid="{D5CDD505-2E9C-101B-9397-08002B2CF9AE}" pid="3" name="ICV">
    <vt:lpwstr>556D35A7633E424B90D6F8B5BFE34E0A</vt:lpwstr>
  </property>
</Properties>
</file>