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C8A9E6">
      <w:pPr>
        <w:jc w:val="center"/>
        <w:rPr>
          <w:sz w:val="44"/>
          <w:szCs w:val="44"/>
        </w:rPr>
      </w:pPr>
      <w:r>
        <w:rPr>
          <w:rFonts w:hint="eastAsia"/>
          <w:sz w:val="44"/>
          <w:szCs w:val="44"/>
        </w:rPr>
        <w:t>市场监管</w:t>
      </w:r>
      <w:r>
        <w:rPr>
          <w:sz w:val="44"/>
          <w:szCs w:val="44"/>
        </w:rPr>
        <w:t>行业标准编制说明</w:t>
      </w:r>
    </w:p>
    <w:p w14:paraId="5780790C">
      <w:pPr>
        <w:pStyle w:val="2"/>
      </w:pPr>
    </w:p>
    <w:tbl>
      <w:tblPr>
        <w:tblStyle w:val="6"/>
        <w:tblW w:w="9390" w:type="dxa"/>
        <w:tblInd w:w="-18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2023"/>
        <w:gridCol w:w="1096"/>
        <w:gridCol w:w="354"/>
        <w:gridCol w:w="271"/>
        <w:gridCol w:w="764"/>
        <w:gridCol w:w="99"/>
        <w:gridCol w:w="1547"/>
        <w:gridCol w:w="129"/>
        <w:gridCol w:w="58"/>
        <w:gridCol w:w="1022"/>
        <w:gridCol w:w="120"/>
        <w:gridCol w:w="1907"/>
      </w:tblGrid>
      <w:tr w14:paraId="246A76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71" w:hRule="atLeast"/>
        </w:trPr>
        <w:tc>
          <w:tcPr>
            <w:tcW w:w="9390" w:type="dxa"/>
            <w:gridSpan w:val="12"/>
            <w:tcBorders>
              <w:top w:val="single" w:color="auto" w:sz="4" w:space="0"/>
              <w:left w:val="single" w:color="auto" w:sz="4" w:space="0"/>
              <w:bottom w:val="single" w:color="auto" w:sz="4" w:space="0"/>
              <w:right w:val="single" w:color="auto" w:sz="4" w:space="0"/>
            </w:tcBorders>
            <w:vAlign w:val="center"/>
          </w:tcPr>
          <w:p w14:paraId="3BCB4939">
            <w:pPr>
              <w:rPr>
                <w:sz w:val="24"/>
                <w:szCs w:val="24"/>
              </w:rPr>
            </w:pPr>
            <w:r>
              <w:rPr>
                <w:rFonts w:hint="eastAsia"/>
                <w:sz w:val="24"/>
                <w:szCs w:val="24"/>
              </w:rPr>
              <w:t>1、基本信息</w:t>
            </w:r>
          </w:p>
        </w:tc>
      </w:tr>
      <w:tr w14:paraId="19369B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62" w:hRule="atLeast"/>
        </w:trPr>
        <w:tc>
          <w:tcPr>
            <w:tcW w:w="2023" w:type="dxa"/>
            <w:vMerge w:val="restart"/>
            <w:tcBorders>
              <w:top w:val="single" w:color="auto" w:sz="4" w:space="0"/>
              <w:left w:val="single" w:color="auto" w:sz="4" w:space="0"/>
              <w:right w:val="single" w:color="auto" w:sz="4" w:space="0"/>
            </w:tcBorders>
            <w:vAlign w:val="center"/>
          </w:tcPr>
          <w:p w14:paraId="460CC454">
            <w:pPr>
              <w:rPr>
                <w:sz w:val="24"/>
                <w:szCs w:val="24"/>
              </w:rPr>
            </w:pPr>
            <w:r>
              <w:rPr>
                <w:sz w:val="24"/>
                <w:szCs w:val="24"/>
              </w:rPr>
              <w:t>1.1 标准名称</w:t>
            </w:r>
          </w:p>
        </w:tc>
        <w:tc>
          <w:tcPr>
            <w:tcW w:w="1450" w:type="dxa"/>
            <w:gridSpan w:val="2"/>
            <w:tcBorders>
              <w:top w:val="single" w:color="auto" w:sz="4" w:space="0"/>
              <w:left w:val="single" w:color="auto" w:sz="4" w:space="0"/>
              <w:bottom w:val="single" w:color="auto" w:sz="4" w:space="0"/>
              <w:right w:val="single" w:color="auto" w:sz="4" w:space="0"/>
            </w:tcBorders>
            <w:vAlign w:val="center"/>
          </w:tcPr>
          <w:p w14:paraId="5E9DD8EB">
            <w:pPr>
              <w:rPr>
                <w:b/>
                <w:sz w:val="24"/>
                <w:szCs w:val="24"/>
              </w:rPr>
            </w:pPr>
            <w:r>
              <w:rPr>
                <w:sz w:val="24"/>
                <w:szCs w:val="24"/>
              </w:rPr>
              <w:t>中文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14:paraId="6F662493">
            <w:pPr>
              <w:rPr>
                <w:sz w:val="24"/>
                <w:szCs w:val="24"/>
              </w:rPr>
            </w:pPr>
            <w:r>
              <w:rPr>
                <w:rFonts w:hint="eastAsia"/>
                <w:sz w:val="24"/>
                <w:szCs w:val="24"/>
              </w:rPr>
              <w:t>网络交易平台内经营者数据归集规范</w:t>
            </w:r>
          </w:p>
        </w:tc>
      </w:tr>
      <w:tr w14:paraId="59C0D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01" w:hRule="atLeast"/>
        </w:trPr>
        <w:tc>
          <w:tcPr>
            <w:tcW w:w="2023" w:type="dxa"/>
            <w:vMerge w:val="continue"/>
            <w:tcBorders>
              <w:left w:val="single" w:color="auto" w:sz="4" w:space="0"/>
              <w:bottom w:val="single" w:color="auto" w:sz="4" w:space="0"/>
              <w:right w:val="single" w:color="auto" w:sz="4" w:space="0"/>
            </w:tcBorders>
            <w:vAlign w:val="center"/>
          </w:tcPr>
          <w:p w14:paraId="766EC809">
            <w:pPr>
              <w:rPr>
                <w:sz w:val="24"/>
                <w:szCs w:val="24"/>
              </w:rPr>
            </w:pPr>
          </w:p>
        </w:tc>
        <w:tc>
          <w:tcPr>
            <w:tcW w:w="1450" w:type="dxa"/>
            <w:gridSpan w:val="2"/>
            <w:tcBorders>
              <w:top w:val="single" w:color="auto" w:sz="4" w:space="0"/>
              <w:left w:val="single" w:color="auto" w:sz="4" w:space="0"/>
              <w:bottom w:val="single" w:color="auto" w:sz="4" w:space="0"/>
              <w:right w:val="single" w:color="auto" w:sz="4" w:space="0"/>
            </w:tcBorders>
            <w:vAlign w:val="center"/>
          </w:tcPr>
          <w:p w14:paraId="2E6B5C59">
            <w:pPr>
              <w:rPr>
                <w:b/>
                <w:sz w:val="24"/>
                <w:szCs w:val="24"/>
              </w:rPr>
            </w:pPr>
            <w:r>
              <w:rPr>
                <w:sz w:val="24"/>
                <w:szCs w:val="24"/>
              </w:rPr>
              <w:t>英文</w:t>
            </w:r>
          </w:p>
        </w:tc>
        <w:tc>
          <w:tcPr>
            <w:tcW w:w="5917" w:type="dxa"/>
            <w:gridSpan w:val="9"/>
            <w:tcBorders>
              <w:top w:val="single" w:color="auto" w:sz="4" w:space="0"/>
              <w:left w:val="single" w:color="auto" w:sz="4" w:space="0"/>
              <w:bottom w:val="single" w:color="auto" w:sz="4" w:space="0"/>
              <w:right w:val="single" w:color="auto" w:sz="4" w:space="0"/>
            </w:tcBorders>
            <w:vAlign w:val="center"/>
          </w:tcPr>
          <w:p w14:paraId="27F61762">
            <w:pPr>
              <w:rPr>
                <w:sz w:val="24"/>
                <w:szCs w:val="24"/>
              </w:rPr>
            </w:pPr>
            <w:r>
              <w:rPr>
                <w:rFonts w:hint="eastAsia"/>
                <w:sz w:val="24"/>
                <w:szCs w:val="24"/>
              </w:rPr>
              <w:t>Specification for data collection of operators in online transaction platforms</w:t>
            </w:r>
          </w:p>
        </w:tc>
      </w:tr>
      <w:tr w14:paraId="11ADC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71" w:hRule="atLeast"/>
        </w:trPr>
        <w:tc>
          <w:tcPr>
            <w:tcW w:w="2023" w:type="dxa"/>
            <w:vMerge w:val="restart"/>
            <w:tcBorders>
              <w:top w:val="single" w:color="auto" w:sz="4" w:space="0"/>
              <w:left w:val="single" w:color="auto" w:sz="4" w:space="0"/>
              <w:right w:val="single" w:color="auto" w:sz="4" w:space="0"/>
            </w:tcBorders>
            <w:vAlign w:val="center"/>
          </w:tcPr>
          <w:p w14:paraId="1B1C611C">
            <w:pPr>
              <w:rPr>
                <w:sz w:val="24"/>
                <w:szCs w:val="24"/>
              </w:rPr>
            </w:pPr>
            <w:r>
              <w:rPr>
                <w:sz w:val="24"/>
                <w:szCs w:val="24"/>
              </w:rPr>
              <w:t>1.2 与国际标准和国外先进标准一致</w:t>
            </w:r>
            <w:r>
              <w:rPr>
                <w:rFonts w:hint="eastAsia"/>
                <w:sz w:val="24"/>
                <w:szCs w:val="24"/>
              </w:rPr>
              <w:t>性</w:t>
            </w:r>
            <w:r>
              <w:rPr>
                <w:sz w:val="24"/>
                <w:szCs w:val="24"/>
              </w:rPr>
              <w:t>程度情况</w:t>
            </w:r>
          </w:p>
        </w:tc>
        <w:tc>
          <w:tcPr>
            <w:tcW w:w="1450" w:type="dxa"/>
            <w:gridSpan w:val="2"/>
            <w:vMerge w:val="restart"/>
            <w:tcBorders>
              <w:top w:val="single" w:color="auto" w:sz="4" w:space="0"/>
              <w:left w:val="single" w:color="auto" w:sz="4" w:space="0"/>
              <w:right w:val="single" w:color="auto" w:sz="4" w:space="0"/>
            </w:tcBorders>
            <w:vAlign w:val="center"/>
          </w:tcPr>
          <w:p w14:paraId="222F8549">
            <w:pPr>
              <w:rPr>
                <w:sz w:val="24"/>
                <w:szCs w:val="24"/>
              </w:rPr>
            </w:pPr>
            <w:r>
              <w:rPr>
                <w:sz w:val="24"/>
                <w:szCs w:val="24"/>
              </w:rPr>
              <w:t>□等同</w:t>
            </w:r>
            <w:r>
              <w:rPr>
                <w:rFonts w:hint="eastAsia"/>
                <w:sz w:val="24"/>
                <w:szCs w:val="24"/>
              </w:rPr>
              <w:t>采用</w:t>
            </w:r>
          </w:p>
          <w:p w14:paraId="3671368C">
            <w:pPr>
              <w:rPr>
                <w:sz w:val="24"/>
                <w:szCs w:val="24"/>
              </w:rPr>
            </w:pPr>
            <w:r>
              <w:rPr>
                <w:sz w:val="24"/>
                <w:szCs w:val="24"/>
              </w:rPr>
              <w:t>□修改</w:t>
            </w:r>
            <w:r>
              <w:rPr>
                <w:rFonts w:hint="eastAsia"/>
                <w:sz w:val="24"/>
                <w:szCs w:val="24"/>
              </w:rPr>
              <w:t>采用</w:t>
            </w:r>
          </w:p>
          <w:p w14:paraId="75749BB2">
            <w:pPr>
              <w:rPr>
                <w:sz w:val="24"/>
                <w:szCs w:val="24"/>
              </w:rPr>
            </w:pPr>
            <w:r>
              <w:rPr>
                <w:sz w:val="24"/>
                <w:szCs w:val="24"/>
              </w:rPr>
              <w:t>□非等效</w:t>
            </w:r>
            <w:r>
              <w:rPr>
                <w:rFonts w:hint="eastAsia"/>
                <w:sz w:val="24"/>
                <w:szCs w:val="24"/>
              </w:rPr>
              <w:t>采用</w:t>
            </w:r>
          </w:p>
          <w:p w14:paraId="69F59E82">
            <w:pPr>
              <w:rPr>
                <w:b/>
                <w:sz w:val="24"/>
                <w:szCs w:val="24"/>
              </w:rPr>
            </w:pPr>
            <w:r>
              <w:rPr>
                <w:rFonts w:ascii="Segoe UI Symbol" w:hAnsi="Segoe UI Symbol" w:cs="Segoe UI Symbol"/>
                <w:sz w:val="24"/>
                <w:szCs w:val="24"/>
              </w:rPr>
              <w:t>☑</w:t>
            </w:r>
            <w:r>
              <w:rPr>
                <w:rFonts w:hint="eastAsia"/>
                <w:sz w:val="24"/>
                <w:szCs w:val="24"/>
              </w:rPr>
              <w:t>未采用</w:t>
            </w:r>
          </w:p>
        </w:tc>
        <w:tc>
          <w:tcPr>
            <w:tcW w:w="1134" w:type="dxa"/>
            <w:gridSpan w:val="3"/>
            <w:tcBorders>
              <w:top w:val="single" w:color="auto" w:sz="4" w:space="0"/>
              <w:left w:val="single" w:color="auto" w:sz="4" w:space="0"/>
              <w:bottom w:val="single" w:color="auto" w:sz="4" w:space="0"/>
              <w:right w:val="single" w:color="auto" w:sz="4" w:space="0"/>
            </w:tcBorders>
            <w:vAlign w:val="center"/>
          </w:tcPr>
          <w:p w14:paraId="5718410D">
            <w:pPr>
              <w:rPr>
                <w:b/>
                <w:sz w:val="24"/>
                <w:szCs w:val="24"/>
              </w:rPr>
            </w:pPr>
            <w:r>
              <w:rPr>
                <w:sz w:val="24"/>
                <w:szCs w:val="24"/>
              </w:rPr>
              <w:t>标准</w:t>
            </w:r>
            <w:r>
              <w:rPr>
                <w:rFonts w:hint="eastAsia"/>
                <w:sz w:val="24"/>
                <w:szCs w:val="24"/>
              </w:rPr>
              <w:t>编</w:t>
            </w:r>
            <w:r>
              <w:rPr>
                <w:sz w:val="24"/>
                <w:szCs w:val="24"/>
              </w:rPr>
              <w:t>号</w:t>
            </w:r>
          </w:p>
        </w:tc>
        <w:tc>
          <w:tcPr>
            <w:tcW w:w="4783" w:type="dxa"/>
            <w:gridSpan w:val="6"/>
            <w:tcBorders>
              <w:top w:val="single" w:color="auto" w:sz="4" w:space="0"/>
              <w:left w:val="single" w:color="auto" w:sz="4" w:space="0"/>
              <w:bottom w:val="single" w:color="auto" w:sz="4" w:space="0"/>
              <w:right w:val="single" w:color="auto" w:sz="4" w:space="0"/>
            </w:tcBorders>
            <w:vAlign w:val="center"/>
          </w:tcPr>
          <w:p w14:paraId="4183FD8F">
            <w:pPr>
              <w:rPr>
                <w:sz w:val="24"/>
                <w:szCs w:val="24"/>
              </w:rPr>
            </w:pPr>
          </w:p>
        </w:tc>
      </w:tr>
      <w:tr w14:paraId="6CC919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71" w:hRule="atLeast"/>
        </w:trPr>
        <w:tc>
          <w:tcPr>
            <w:tcW w:w="2023" w:type="dxa"/>
            <w:vMerge w:val="continue"/>
            <w:tcBorders>
              <w:left w:val="single" w:color="auto" w:sz="4" w:space="0"/>
              <w:right w:val="single" w:color="auto" w:sz="4" w:space="0"/>
            </w:tcBorders>
            <w:vAlign w:val="center"/>
          </w:tcPr>
          <w:p w14:paraId="5F1F0A9B">
            <w:pPr>
              <w:rPr>
                <w:sz w:val="24"/>
                <w:szCs w:val="24"/>
              </w:rPr>
            </w:pPr>
          </w:p>
        </w:tc>
        <w:tc>
          <w:tcPr>
            <w:tcW w:w="1450" w:type="dxa"/>
            <w:gridSpan w:val="2"/>
            <w:vMerge w:val="continue"/>
            <w:tcBorders>
              <w:left w:val="single" w:color="auto" w:sz="4" w:space="0"/>
              <w:right w:val="single" w:color="auto" w:sz="4" w:space="0"/>
            </w:tcBorders>
            <w:vAlign w:val="center"/>
          </w:tcPr>
          <w:p w14:paraId="47180291">
            <w:pPr>
              <w:rPr>
                <w:sz w:val="24"/>
                <w:szCs w:val="24"/>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14:paraId="1BBCA315">
            <w:pPr>
              <w:rPr>
                <w:b/>
                <w:sz w:val="24"/>
                <w:szCs w:val="24"/>
              </w:rPr>
            </w:pPr>
            <w:r>
              <w:rPr>
                <w:sz w:val="24"/>
                <w:szCs w:val="24"/>
              </w:rPr>
              <w:t>英文名称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14:paraId="29477F42">
            <w:pPr>
              <w:rPr>
                <w:sz w:val="24"/>
                <w:szCs w:val="24"/>
              </w:rPr>
            </w:pPr>
          </w:p>
        </w:tc>
      </w:tr>
      <w:tr w14:paraId="41FA24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38" w:hRule="atLeast"/>
        </w:trPr>
        <w:tc>
          <w:tcPr>
            <w:tcW w:w="2023" w:type="dxa"/>
            <w:vMerge w:val="continue"/>
            <w:tcBorders>
              <w:left w:val="single" w:color="auto" w:sz="4" w:space="0"/>
              <w:bottom w:val="single" w:color="auto" w:sz="4" w:space="0"/>
              <w:right w:val="single" w:color="auto" w:sz="4" w:space="0"/>
            </w:tcBorders>
            <w:vAlign w:val="center"/>
          </w:tcPr>
          <w:p w14:paraId="53237F6C">
            <w:pPr>
              <w:rPr>
                <w:sz w:val="24"/>
                <w:szCs w:val="24"/>
              </w:rPr>
            </w:pPr>
          </w:p>
        </w:tc>
        <w:tc>
          <w:tcPr>
            <w:tcW w:w="1450" w:type="dxa"/>
            <w:gridSpan w:val="2"/>
            <w:vMerge w:val="continue"/>
            <w:tcBorders>
              <w:left w:val="single" w:color="auto" w:sz="4" w:space="0"/>
              <w:bottom w:val="single" w:color="auto" w:sz="4" w:space="0"/>
              <w:right w:val="single" w:color="auto" w:sz="4" w:space="0"/>
            </w:tcBorders>
            <w:vAlign w:val="center"/>
          </w:tcPr>
          <w:p w14:paraId="03169719">
            <w:pPr>
              <w:rPr>
                <w:sz w:val="24"/>
                <w:szCs w:val="24"/>
              </w:rPr>
            </w:pPr>
          </w:p>
        </w:tc>
        <w:tc>
          <w:tcPr>
            <w:tcW w:w="1134" w:type="dxa"/>
            <w:gridSpan w:val="3"/>
            <w:tcBorders>
              <w:top w:val="single" w:color="auto" w:sz="4" w:space="0"/>
              <w:left w:val="single" w:color="auto" w:sz="4" w:space="0"/>
              <w:bottom w:val="single" w:color="auto" w:sz="4" w:space="0"/>
              <w:right w:val="single" w:color="auto" w:sz="4" w:space="0"/>
            </w:tcBorders>
            <w:vAlign w:val="center"/>
          </w:tcPr>
          <w:p w14:paraId="5C3DB7CD">
            <w:pPr>
              <w:rPr>
                <w:b/>
                <w:sz w:val="24"/>
                <w:szCs w:val="24"/>
              </w:rPr>
            </w:pPr>
            <w:r>
              <w:rPr>
                <w:sz w:val="24"/>
                <w:szCs w:val="24"/>
              </w:rPr>
              <w:t>中文名称</w:t>
            </w:r>
          </w:p>
        </w:tc>
        <w:tc>
          <w:tcPr>
            <w:tcW w:w="4783" w:type="dxa"/>
            <w:gridSpan w:val="6"/>
            <w:tcBorders>
              <w:top w:val="single" w:color="auto" w:sz="4" w:space="0"/>
              <w:left w:val="single" w:color="auto" w:sz="4" w:space="0"/>
              <w:bottom w:val="single" w:color="auto" w:sz="4" w:space="0"/>
              <w:right w:val="single" w:color="auto" w:sz="4" w:space="0"/>
            </w:tcBorders>
            <w:vAlign w:val="center"/>
          </w:tcPr>
          <w:p w14:paraId="5B381557">
            <w:pPr>
              <w:rPr>
                <w:sz w:val="24"/>
                <w:szCs w:val="24"/>
              </w:rPr>
            </w:pPr>
          </w:p>
        </w:tc>
      </w:tr>
      <w:tr w14:paraId="0F123E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03" w:hRule="atLeast"/>
        </w:trPr>
        <w:tc>
          <w:tcPr>
            <w:tcW w:w="2023" w:type="dxa"/>
            <w:tcBorders>
              <w:left w:val="single" w:color="auto" w:sz="4" w:space="0"/>
              <w:right w:val="single" w:color="auto" w:sz="4" w:space="0"/>
            </w:tcBorders>
            <w:vAlign w:val="center"/>
          </w:tcPr>
          <w:p w14:paraId="7A263C0B">
            <w:pPr>
              <w:rPr>
                <w:sz w:val="24"/>
                <w:szCs w:val="24"/>
              </w:rPr>
            </w:pPr>
            <w:r>
              <w:rPr>
                <w:sz w:val="24"/>
                <w:szCs w:val="24"/>
              </w:rPr>
              <w:t>1.3 任务来源</w:t>
            </w:r>
          </w:p>
        </w:tc>
        <w:tc>
          <w:tcPr>
            <w:tcW w:w="1450" w:type="dxa"/>
            <w:gridSpan w:val="2"/>
            <w:tcBorders>
              <w:left w:val="single" w:color="auto" w:sz="4" w:space="0"/>
              <w:right w:val="single" w:color="auto" w:sz="4" w:space="0"/>
            </w:tcBorders>
            <w:vAlign w:val="center"/>
          </w:tcPr>
          <w:p w14:paraId="43E9713F">
            <w:pPr>
              <w:rPr>
                <w:sz w:val="24"/>
                <w:szCs w:val="24"/>
              </w:rPr>
            </w:pPr>
            <w:r>
              <w:rPr>
                <w:sz w:val="24"/>
                <w:szCs w:val="24"/>
              </w:rPr>
              <w:t>批准立项的文件名称和文件号</w:t>
            </w:r>
          </w:p>
        </w:tc>
        <w:tc>
          <w:tcPr>
            <w:tcW w:w="2810" w:type="dxa"/>
            <w:gridSpan w:val="5"/>
            <w:tcBorders>
              <w:top w:val="single" w:color="auto" w:sz="4" w:space="0"/>
              <w:left w:val="single" w:color="auto" w:sz="4" w:space="0"/>
              <w:bottom w:val="single" w:color="auto" w:sz="4" w:space="0"/>
              <w:right w:val="single" w:color="auto" w:sz="4" w:space="0"/>
            </w:tcBorders>
            <w:vAlign w:val="center"/>
          </w:tcPr>
          <w:p w14:paraId="62310403">
            <w:pPr>
              <w:rPr>
                <w:sz w:val="24"/>
                <w:szCs w:val="24"/>
              </w:rPr>
            </w:pPr>
            <w:r>
              <w:rPr>
                <w:rFonts w:hint="eastAsia"/>
                <w:sz w:val="24"/>
                <w:szCs w:val="24"/>
              </w:rPr>
              <w:t>市场监管总局关于下达2023年度市场监管行业标准制订计划项目的通知</w:t>
            </w:r>
          </w:p>
        </w:tc>
        <w:tc>
          <w:tcPr>
            <w:tcW w:w="1080" w:type="dxa"/>
            <w:gridSpan w:val="2"/>
            <w:tcBorders>
              <w:top w:val="single" w:color="auto" w:sz="4" w:space="0"/>
              <w:left w:val="single" w:color="auto" w:sz="4" w:space="0"/>
              <w:bottom w:val="single" w:color="auto" w:sz="4" w:space="0"/>
              <w:right w:val="single" w:color="auto" w:sz="4" w:space="0"/>
            </w:tcBorders>
            <w:vAlign w:val="center"/>
          </w:tcPr>
          <w:p w14:paraId="69103210">
            <w:pPr>
              <w:rPr>
                <w:sz w:val="24"/>
                <w:szCs w:val="24"/>
              </w:rPr>
            </w:pPr>
            <w:r>
              <w:rPr>
                <w:sz w:val="24"/>
                <w:szCs w:val="24"/>
              </w:rPr>
              <w:t>计划编号</w:t>
            </w:r>
          </w:p>
        </w:tc>
        <w:tc>
          <w:tcPr>
            <w:tcW w:w="2027" w:type="dxa"/>
            <w:gridSpan w:val="2"/>
            <w:tcBorders>
              <w:top w:val="single" w:color="auto" w:sz="4" w:space="0"/>
              <w:left w:val="single" w:color="auto" w:sz="4" w:space="0"/>
              <w:bottom w:val="single" w:color="auto" w:sz="4" w:space="0"/>
              <w:right w:val="single" w:color="auto" w:sz="4" w:space="0"/>
            </w:tcBorders>
            <w:vAlign w:val="center"/>
          </w:tcPr>
          <w:p w14:paraId="6BCFFE33">
            <w:pPr>
              <w:rPr>
                <w:sz w:val="24"/>
                <w:szCs w:val="24"/>
              </w:rPr>
            </w:pPr>
            <w:r>
              <w:rPr>
                <w:rFonts w:hint="eastAsia"/>
                <w:sz w:val="24"/>
                <w:szCs w:val="24"/>
              </w:rPr>
              <w:t>2023MR0033</w:t>
            </w:r>
          </w:p>
        </w:tc>
      </w:tr>
      <w:tr w14:paraId="1B0974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5" w:hRule="atLeast"/>
        </w:trPr>
        <w:tc>
          <w:tcPr>
            <w:tcW w:w="2023" w:type="dxa"/>
            <w:tcBorders>
              <w:left w:val="single" w:color="auto" w:sz="4" w:space="0"/>
              <w:right w:val="single" w:color="auto" w:sz="4" w:space="0"/>
            </w:tcBorders>
            <w:vAlign w:val="center"/>
          </w:tcPr>
          <w:p w14:paraId="7A4E8602">
            <w:pPr>
              <w:rPr>
                <w:sz w:val="24"/>
                <w:szCs w:val="24"/>
              </w:rPr>
            </w:pPr>
            <w:r>
              <w:rPr>
                <w:rFonts w:hint="eastAsia"/>
                <w:sz w:val="24"/>
                <w:szCs w:val="24"/>
              </w:rPr>
              <w:t>1.4制（修）订</w:t>
            </w:r>
          </w:p>
        </w:tc>
        <w:tc>
          <w:tcPr>
            <w:tcW w:w="7367" w:type="dxa"/>
            <w:gridSpan w:val="11"/>
            <w:tcBorders>
              <w:left w:val="single" w:color="auto" w:sz="4" w:space="0"/>
              <w:right w:val="single" w:color="auto" w:sz="4" w:space="0"/>
            </w:tcBorders>
            <w:vAlign w:val="center"/>
          </w:tcPr>
          <w:p w14:paraId="76DA6796">
            <w:pPr>
              <w:rPr>
                <w:color w:val="000000"/>
                <w:sz w:val="24"/>
                <w:szCs w:val="24"/>
              </w:rPr>
            </w:pPr>
            <w:r>
              <w:rPr>
                <w:rFonts w:ascii="Segoe UI Symbol" w:hAnsi="Segoe UI Symbol" w:cs="Segoe UI Symbol"/>
                <w:snapToGrid w:val="0"/>
                <w:color w:val="000000"/>
                <w:kern w:val="0"/>
                <w:sz w:val="24"/>
                <w:szCs w:val="24"/>
              </w:rPr>
              <w:t>☑</w:t>
            </w:r>
            <w:r>
              <w:rPr>
                <w:rFonts w:hint="eastAsia"/>
                <w:snapToGrid w:val="0"/>
                <w:color w:val="000000"/>
                <w:kern w:val="0"/>
                <w:sz w:val="24"/>
                <w:szCs w:val="24"/>
              </w:rPr>
              <w:t>制定     □修订</w:t>
            </w:r>
            <w:r>
              <w:rPr>
                <w:rFonts w:hint="eastAsia"/>
                <w:sz w:val="24"/>
                <w:szCs w:val="24"/>
              </w:rPr>
              <w:t>（被修订标准名称及编号：                  ）</w:t>
            </w:r>
          </w:p>
        </w:tc>
      </w:tr>
      <w:tr w14:paraId="542333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89" w:hRule="atLeast"/>
        </w:trPr>
        <w:tc>
          <w:tcPr>
            <w:tcW w:w="2023" w:type="dxa"/>
            <w:tcBorders>
              <w:left w:val="single" w:color="auto" w:sz="4" w:space="0"/>
              <w:right w:val="single" w:color="auto" w:sz="4" w:space="0"/>
            </w:tcBorders>
            <w:vAlign w:val="center"/>
          </w:tcPr>
          <w:p w14:paraId="0DB33E8C">
            <w:pPr>
              <w:rPr>
                <w:sz w:val="24"/>
                <w:szCs w:val="24"/>
              </w:rPr>
            </w:pPr>
            <w:r>
              <w:rPr>
                <w:sz w:val="24"/>
                <w:szCs w:val="24"/>
              </w:rPr>
              <w:t>1.5 起止时间</w:t>
            </w:r>
          </w:p>
        </w:tc>
        <w:tc>
          <w:tcPr>
            <w:tcW w:w="7367" w:type="dxa"/>
            <w:gridSpan w:val="11"/>
            <w:tcBorders>
              <w:left w:val="single" w:color="auto" w:sz="4" w:space="0"/>
              <w:right w:val="single" w:color="auto" w:sz="4" w:space="0"/>
            </w:tcBorders>
            <w:vAlign w:val="center"/>
          </w:tcPr>
          <w:p w14:paraId="4385AD7E">
            <w:pPr>
              <w:rPr>
                <w:sz w:val="24"/>
                <w:szCs w:val="24"/>
              </w:rPr>
            </w:pPr>
            <w:r>
              <w:rPr>
                <w:rFonts w:hint="eastAsia"/>
                <w:sz w:val="24"/>
                <w:szCs w:val="24"/>
              </w:rPr>
              <w:t>2024</w:t>
            </w:r>
            <w:r>
              <w:rPr>
                <w:sz w:val="24"/>
                <w:szCs w:val="24"/>
              </w:rPr>
              <w:t>年</w:t>
            </w:r>
            <w:r>
              <w:rPr>
                <w:rFonts w:hint="eastAsia"/>
                <w:sz w:val="24"/>
                <w:szCs w:val="24"/>
              </w:rPr>
              <w:t>3</w:t>
            </w:r>
            <w:r>
              <w:rPr>
                <w:sz w:val="24"/>
                <w:szCs w:val="24"/>
              </w:rPr>
              <w:t xml:space="preserve"> 月---  </w:t>
            </w:r>
            <w:r>
              <w:rPr>
                <w:rFonts w:hint="eastAsia"/>
                <w:sz w:val="24"/>
                <w:szCs w:val="24"/>
              </w:rPr>
              <w:t>2025</w:t>
            </w:r>
            <w:r>
              <w:rPr>
                <w:sz w:val="24"/>
                <w:szCs w:val="24"/>
              </w:rPr>
              <w:t xml:space="preserve"> 年 </w:t>
            </w:r>
            <w:r>
              <w:rPr>
                <w:rFonts w:hint="eastAsia"/>
                <w:sz w:val="24"/>
                <w:szCs w:val="24"/>
              </w:rPr>
              <w:t>3</w:t>
            </w:r>
            <w:r>
              <w:rPr>
                <w:sz w:val="24"/>
                <w:szCs w:val="24"/>
              </w:rPr>
              <w:t>月</w:t>
            </w:r>
          </w:p>
        </w:tc>
      </w:tr>
      <w:tr w14:paraId="411599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111" w:hRule="atLeast"/>
        </w:trPr>
        <w:tc>
          <w:tcPr>
            <w:tcW w:w="2023" w:type="dxa"/>
            <w:tcBorders>
              <w:left w:val="single" w:color="auto" w:sz="4" w:space="0"/>
              <w:right w:val="single" w:color="auto" w:sz="4" w:space="0"/>
            </w:tcBorders>
            <w:vAlign w:val="center"/>
          </w:tcPr>
          <w:p w14:paraId="47640F5C">
            <w:pPr>
              <w:rPr>
                <w:sz w:val="24"/>
                <w:szCs w:val="24"/>
              </w:rPr>
            </w:pPr>
            <w:r>
              <w:rPr>
                <w:sz w:val="24"/>
                <w:szCs w:val="24"/>
              </w:rPr>
              <w:t xml:space="preserve">1.6 </w:t>
            </w:r>
            <w:r>
              <w:rPr>
                <w:rFonts w:hint="eastAsia"/>
                <w:sz w:val="24"/>
                <w:szCs w:val="24"/>
              </w:rPr>
              <w:t>标准起草</w:t>
            </w:r>
            <w:r>
              <w:rPr>
                <w:sz w:val="24"/>
                <w:szCs w:val="24"/>
              </w:rPr>
              <w:t>单位</w:t>
            </w:r>
          </w:p>
        </w:tc>
        <w:tc>
          <w:tcPr>
            <w:tcW w:w="7367" w:type="dxa"/>
            <w:gridSpan w:val="11"/>
            <w:tcBorders>
              <w:left w:val="single" w:color="auto" w:sz="4" w:space="0"/>
              <w:right w:val="single" w:color="auto" w:sz="4" w:space="0"/>
            </w:tcBorders>
            <w:vAlign w:val="center"/>
          </w:tcPr>
          <w:p w14:paraId="7CAE45D5">
            <w:pPr>
              <w:rPr>
                <w:rFonts w:ascii="宋体" w:hAnsi="宋体"/>
                <w:color w:val="000000"/>
                <w:sz w:val="24"/>
                <w:szCs w:val="24"/>
              </w:rPr>
            </w:pPr>
            <w:r>
              <w:rPr>
                <w:rFonts w:hint="eastAsia"/>
                <w:sz w:val="24"/>
                <w:szCs w:val="24"/>
              </w:rPr>
              <w:t>国家市场监督管理总局网络交易监督管理司、中国网络安全审查认证和市场监管大数据中心、国家市场监督管理总局竞争政策与评估中心、中国标准化研究院、山东省市场监督管理局、河南省市场监督管理局、中国计量大学</w:t>
            </w:r>
          </w:p>
        </w:tc>
      </w:tr>
      <w:tr w14:paraId="384A58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73" w:hRule="atLeast"/>
        </w:trPr>
        <w:tc>
          <w:tcPr>
            <w:tcW w:w="2023" w:type="dxa"/>
            <w:tcBorders>
              <w:left w:val="single" w:color="auto" w:sz="4" w:space="0"/>
              <w:right w:val="single" w:color="auto" w:sz="4" w:space="0"/>
            </w:tcBorders>
            <w:vAlign w:val="center"/>
          </w:tcPr>
          <w:p w14:paraId="4F55E2EC">
            <w:pPr>
              <w:rPr>
                <w:sz w:val="24"/>
                <w:szCs w:val="24"/>
              </w:rPr>
            </w:pPr>
            <w:r>
              <w:rPr>
                <w:sz w:val="24"/>
                <w:szCs w:val="24"/>
              </w:rPr>
              <w:t>1.7 起草团队</w:t>
            </w:r>
          </w:p>
        </w:tc>
        <w:tc>
          <w:tcPr>
            <w:tcW w:w="7367" w:type="dxa"/>
            <w:gridSpan w:val="11"/>
            <w:tcBorders>
              <w:left w:val="single" w:color="auto" w:sz="4" w:space="0"/>
              <w:right w:val="single" w:color="auto" w:sz="4" w:space="0"/>
            </w:tcBorders>
            <w:vAlign w:val="center"/>
          </w:tcPr>
          <w:p w14:paraId="60AA013D">
            <w:pPr>
              <w:rPr>
                <w:rFonts w:ascii="宋体" w:hAnsi="宋体"/>
                <w:color w:val="000000"/>
                <w:sz w:val="24"/>
                <w:szCs w:val="24"/>
              </w:rPr>
            </w:pPr>
            <w:r>
              <w:rPr>
                <w:rFonts w:hint="eastAsia" w:eastAsia="宋体" w:cs="Times New Roman"/>
                <w:sz w:val="24"/>
                <w:szCs w:val="24"/>
              </w:rPr>
              <w:t>翟泳、马宇飞、李玲、田文涛、李晶、韦东鹏、</w:t>
            </w:r>
            <w:r>
              <w:rPr>
                <w:rFonts w:hint="eastAsia" w:eastAsia="宋体" w:cs="Times New Roman"/>
                <w:sz w:val="24"/>
                <w:szCs w:val="24"/>
                <w:lang w:bidi="ar"/>
              </w:rPr>
              <w:t>孙兆洋、</w:t>
            </w:r>
            <w:r>
              <w:rPr>
                <w:rFonts w:hint="eastAsia" w:eastAsia="宋体" w:cs="Times New Roman"/>
                <w:sz w:val="24"/>
                <w:szCs w:val="24"/>
              </w:rPr>
              <w:t>宋锋、</w:t>
            </w:r>
            <w:r>
              <w:rPr>
                <w:rFonts w:hint="eastAsia" w:eastAsia="宋体" w:cs="Times New Roman"/>
                <w:sz w:val="24"/>
                <w:szCs w:val="24"/>
                <w:lang w:bidi="ar"/>
              </w:rPr>
              <w:t>陆进宇、马晓威、张栋、毛文琳、金世举</w:t>
            </w:r>
          </w:p>
        </w:tc>
      </w:tr>
      <w:tr w14:paraId="0CC039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134" w:hRule="atLeast"/>
        </w:trPr>
        <w:tc>
          <w:tcPr>
            <w:tcW w:w="2023" w:type="dxa"/>
            <w:tcBorders>
              <w:left w:val="single" w:color="auto" w:sz="4" w:space="0"/>
              <w:right w:val="single" w:color="auto" w:sz="4" w:space="0"/>
            </w:tcBorders>
            <w:vAlign w:val="center"/>
          </w:tcPr>
          <w:p w14:paraId="6D1FEF46">
            <w:pPr>
              <w:rPr>
                <w:sz w:val="24"/>
                <w:szCs w:val="24"/>
              </w:rPr>
            </w:pPr>
            <w:r>
              <w:rPr>
                <w:sz w:val="24"/>
                <w:szCs w:val="24"/>
              </w:rPr>
              <w:t>1.</w:t>
            </w:r>
            <w:r>
              <w:rPr>
                <w:rFonts w:hint="eastAsia"/>
                <w:sz w:val="24"/>
                <w:szCs w:val="24"/>
              </w:rPr>
              <w:t>8</w:t>
            </w:r>
            <w:r>
              <w:rPr>
                <w:sz w:val="24"/>
                <w:szCs w:val="24"/>
              </w:rPr>
              <w:t xml:space="preserve"> </w:t>
            </w:r>
            <w:r>
              <w:rPr>
                <w:rFonts w:hint="eastAsia"/>
                <w:sz w:val="24"/>
                <w:szCs w:val="24"/>
              </w:rPr>
              <w:t>标准体系表内编号</w:t>
            </w:r>
          </w:p>
        </w:tc>
        <w:tc>
          <w:tcPr>
            <w:tcW w:w="7367" w:type="dxa"/>
            <w:gridSpan w:val="11"/>
            <w:tcBorders>
              <w:left w:val="single" w:color="auto" w:sz="4" w:space="0"/>
              <w:right w:val="single" w:color="auto" w:sz="4" w:space="0"/>
            </w:tcBorders>
            <w:vAlign w:val="center"/>
          </w:tcPr>
          <w:p w14:paraId="1B730419">
            <w:pPr>
              <w:rPr>
                <w:sz w:val="24"/>
                <w:szCs w:val="24"/>
              </w:rPr>
            </w:pPr>
            <w:r>
              <w:rPr>
                <w:rFonts w:hint="eastAsia"/>
                <w:sz w:val="24"/>
                <w:szCs w:val="24"/>
              </w:rPr>
              <w:t>2</w:t>
            </w:r>
            <w:r>
              <w:rPr>
                <w:sz w:val="24"/>
                <w:szCs w:val="24"/>
              </w:rPr>
              <w:t>023MR0033</w:t>
            </w:r>
          </w:p>
        </w:tc>
      </w:tr>
      <w:tr w14:paraId="7092FA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7" w:hRule="atLeast"/>
        </w:trPr>
        <w:tc>
          <w:tcPr>
            <w:tcW w:w="2023" w:type="dxa"/>
            <w:tcBorders>
              <w:left w:val="single" w:color="auto" w:sz="4" w:space="0"/>
              <w:right w:val="single" w:color="auto" w:sz="4" w:space="0"/>
            </w:tcBorders>
            <w:vAlign w:val="center"/>
          </w:tcPr>
          <w:p w14:paraId="17F7382A">
            <w:pPr>
              <w:rPr>
                <w:sz w:val="24"/>
                <w:szCs w:val="24"/>
              </w:rPr>
            </w:pPr>
            <w:r>
              <w:rPr>
                <w:sz w:val="24"/>
                <w:szCs w:val="24"/>
              </w:rPr>
              <w:t>1.</w:t>
            </w:r>
            <w:r>
              <w:rPr>
                <w:rFonts w:hint="eastAsia"/>
                <w:sz w:val="24"/>
                <w:szCs w:val="24"/>
              </w:rPr>
              <w:t>9</w:t>
            </w:r>
            <w:r>
              <w:rPr>
                <w:sz w:val="24"/>
                <w:szCs w:val="24"/>
              </w:rPr>
              <w:t>调整情况</w:t>
            </w:r>
          </w:p>
        </w:tc>
        <w:tc>
          <w:tcPr>
            <w:tcW w:w="7367" w:type="dxa"/>
            <w:gridSpan w:val="11"/>
            <w:tcBorders>
              <w:left w:val="single" w:color="auto" w:sz="4" w:space="0"/>
              <w:right w:val="single" w:color="auto" w:sz="4" w:space="0"/>
            </w:tcBorders>
            <w:vAlign w:val="center"/>
          </w:tcPr>
          <w:p w14:paraId="30562190">
            <w:pPr>
              <w:rPr>
                <w:sz w:val="24"/>
                <w:szCs w:val="24"/>
              </w:rPr>
            </w:pPr>
            <w:r>
              <w:rPr>
                <w:rFonts w:hint="eastAsia"/>
                <w:sz w:val="24"/>
                <w:szCs w:val="24"/>
              </w:rPr>
              <w:t>无</w:t>
            </w:r>
          </w:p>
        </w:tc>
      </w:tr>
      <w:tr w14:paraId="4D1ADF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92" w:hRule="atLeast"/>
        </w:trPr>
        <w:tc>
          <w:tcPr>
            <w:tcW w:w="9390" w:type="dxa"/>
            <w:gridSpan w:val="12"/>
            <w:tcBorders>
              <w:left w:val="single" w:color="auto" w:sz="4" w:space="0"/>
              <w:right w:val="single" w:color="auto" w:sz="4" w:space="0"/>
            </w:tcBorders>
            <w:vAlign w:val="center"/>
          </w:tcPr>
          <w:p w14:paraId="7B75831D">
            <w:pPr>
              <w:rPr>
                <w:sz w:val="24"/>
                <w:szCs w:val="24"/>
              </w:rPr>
            </w:pPr>
            <w:r>
              <w:rPr>
                <w:rFonts w:hint="eastAsia"/>
                <w:sz w:val="24"/>
                <w:szCs w:val="24"/>
              </w:rPr>
              <w:t>2、背景情况</w:t>
            </w:r>
          </w:p>
        </w:tc>
      </w:tr>
      <w:tr w14:paraId="3073F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47" w:hRule="atLeast"/>
        </w:trPr>
        <w:tc>
          <w:tcPr>
            <w:tcW w:w="2023" w:type="dxa"/>
            <w:tcBorders>
              <w:left w:val="single" w:color="auto" w:sz="4" w:space="0"/>
              <w:right w:val="single" w:color="auto" w:sz="4" w:space="0"/>
            </w:tcBorders>
            <w:vAlign w:val="center"/>
          </w:tcPr>
          <w:p w14:paraId="5F936312">
            <w:pPr>
              <w:rPr>
                <w:sz w:val="24"/>
                <w:szCs w:val="24"/>
              </w:rPr>
            </w:pPr>
            <w:r>
              <w:rPr>
                <w:sz w:val="24"/>
                <w:szCs w:val="24"/>
              </w:rPr>
              <w:t>2.1 目的、意义</w:t>
            </w:r>
          </w:p>
          <w:p w14:paraId="42697218">
            <w:pPr>
              <w:rPr>
                <w:b/>
                <w:sz w:val="24"/>
                <w:szCs w:val="24"/>
              </w:rPr>
            </w:pPr>
            <w:r>
              <w:rPr>
                <w:rFonts w:hint="eastAsia"/>
                <w:sz w:val="24"/>
                <w:szCs w:val="24"/>
              </w:rPr>
              <w:t>（工作开展背景及要求）</w:t>
            </w:r>
          </w:p>
        </w:tc>
        <w:tc>
          <w:tcPr>
            <w:tcW w:w="7367" w:type="dxa"/>
            <w:gridSpan w:val="11"/>
            <w:tcBorders>
              <w:left w:val="single" w:color="auto" w:sz="4" w:space="0"/>
              <w:right w:val="single" w:color="auto" w:sz="4" w:space="0"/>
            </w:tcBorders>
            <w:vAlign w:val="center"/>
          </w:tcPr>
          <w:p w14:paraId="09B358A0">
            <w:pPr>
              <w:pStyle w:val="2"/>
              <w:spacing w:line="300" w:lineRule="auto"/>
              <w:ind w:firstLine="480" w:firstLineChars="200"/>
              <w:rPr>
                <w:sz w:val="24"/>
                <w:szCs w:val="24"/>
              </w:rPr>
            </w:pPr>
            <w:r>
              <w:rPr>
                <w:rFonts w:hint="eastAsia"/>
                <w:sz w:val="24"/>
                <w:szCs w:val="24"/>
              </w:rPr>
              <w:t>《网络交易监督管理办法》</w:t>
            </w:r>
            <w:r>
              <w:rPr>
                <w:rFonts w:hint="eastAsia"/>
                <w:sz w:val="24"/>
                <w:szCs w:val="24"/>
                <w:lang w:val="en-US" w:eastAsia="zh-CN"/>
              </w:rPr>
              <w:t>第二十五条规定，</w:t>
            </w:r>
            <w:r>
              <w:rPr>
                <w:rFonts w:hint="eastAsia"/>
                <w:sz w:val="24"/>
                <w:szCs w:val="24"/>
              </w:rPr>
              <w:t>网络交易平台经营者应当分别于每年1月和7月向住所地省级市场监督管理部门报送平台内经营者的身份信息</w:t>
            </w:r>
            <w:r>
              <w:rPr>
                <w:rFonts w:hint="eastAsia"/>
                <w:sz w:val="24"/>
                <w:szCs w:val="24"/>
              </w:rPr>
              <w:t>。但</w:t>
            </w:r>
            <w:r>
              <w:rPr>
                <w:rFonts w:hint="eastAsia"/>
                <w:sz w:val="24"/>
                <w:szCs w:val="24"/>
                <w:lang w:val="en-US" w:eastAsia="zh-CN"/>
              </w:rPr>
              <w:t>实践中，</w:t>
            </w:r>
            <w:r>
              <w:rPr>
                <w:rFonts w:hint="eastAsia"/>
                <w:sz w:val="24"/>
                <w:szCs w:val="24"/>
              </w:rPr>
              <w:t>省级市场监督管理部门</w:t>
            </w:r>
            <w:r>
              <w:rPr>
                <w:rFonts w:hint="eastAsia"/>
                <w:sz w:val="24"/>
                <w:szCs w:val="24"/>
                <w:lang w:val="en-US" w:eastAsia="zh-CN"/>
              </w:rPr>
              <w:t>向总局</w:t>
            </w:r>
            <w:r>
              <w:rPr>
                <w:rFonts w:hint="eastAsia"/>
                <w:sz w:val="24"/>
                <w:szCs w:val="24"/>
              </w:rPr>
              <w:t>归集平台内经营者数据过程中，各地数据质量参差不齐，报送逻辑有所不同，影响了归集效率和数据质量。因此，制定统一规范标准的数据规则，将有利于数据归集效用提升和各监管部门业务协同。</w:t>
            </w:r>
          </w:p>
          <w:p w14:paraId="50353385">
            <w:pPr>
              <w:pStyle w:val="2"/>
              <w:spacing w:line="300" w:lineRule="auto"/>
              <w:ind w:firstLine="480" w:firstLineChars="200"/>
              <w:rPr>
                <w:rFonts w:hint="eastAsia"/>
                <w:sz w:val="24"/>
                <w:szCs w:val="24"/>
              </w:rPr>
            </w:pPr>
            <w:r>
              <w:rPr>
                <w:rFonts w:hint="eastAsia"/>
                <w:sz w:val="24"/>
                <w:szCs w:val="24"/>
              </w:rPr>
              <w:t>为了提升省级市场监管部门在开展网络交易平台内经营者数据归集的质量，充分发挥标准在国家治理体系中的重要作用，依据《电子商务法》《网络交易监督管理办法》等相关法律法规和网络交易平台内经营者有关数据要求，制定本标准。</w:t>
            </w:r>
          </w:p>
          <w:p w14:paraId="463A64F4">
            <w:pPr>
              <w:spacing w:line="300" w:lineRule="auto"/>
              <w:ind w:firstLine="480" w:firstLineChars="200"/>
              <w:rPr>
                <w:sz w:val="24"/>
                <w:szCs w:val="24"/>
              </w:rPr>
            </w:pPr>
          </w:p>
        </w:tc>
      </w:tr>
      <w:tr w14:paraId="3E040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2023" w:type="dxa"/>
            <w:tcBorders>
              <w:left w:val="single" w:color="auto" w:sz="4" w:space="0"/>
              <w:right w:val="single" w:color="auto" w:sz="4" w:space="0"/>
            </w:tcBorders>
            <w:vAlign w:val="center"/>
          </w:tcPr>
          <w:p w14:paraId="25BF6650">
            <w:pPr>
              <w:rPr>
                <w:b/>
                <w:sz w:val="24"/>
                <w:szCs w:val="24"/>
              </w:rPr>
            </w:pPr>
            <w:r>
              <w:rPr>
                <w:sz w:val="24"/>
                <w:szCs w:val="24"/>
              </w:rPr>
              <w:t>2.2 与国内外相关标准、文献的关系</w:t>
            </w:r>
          </w:p>
        </w:tc>
        <w:tc>
          <w:tcPr>
            <w:tcW w:w="7367" w:type="dxa"/>
            <w:gridSpan w:val="11"/>
            <w:tcBorders>
              <w:left w:val="single" w:color="auto" w:sz="4" w:space="0"/>
              <w:right w:val="single" w:color="auto" w:sz="4" w:space="0"/>
            </w:tcBorders>
            <w:vAlign w:val="center"/>
          </w:tcPr>
          <w:p w14:paraId="4FCBAF08">
            <w:pPr>
              <w:spacing w:line="300" w:lineRule="auto"/>
              <w:ind w:firstLine="480" w:firstLineChars="200"/>
              <w:rPr>
                <w:sz w:val="24"/>
                <w:szCs w:val="24"/>
              </w:rPr>
            </w:pPr>
            <w:r>
              <w:rPr>
                <w:rFonts w:hint="eastAsia"/>
                <w:sz w:val="24"/>
                <w:szCs w:val="24"/>
              </w:rPr>
              <w:t>本标准主要依据的法律法规规章包括：</w:t>
            </w:r>
          </w:p>
          <w:p w14:paraId="4875C655">
            <w:pPr>
              <w:spacing w:line="300" w:lineRule="auto"/>
              <w:ind w:firstLine="480" w:firstLineChars="200"/>
              <w:rPr>
                <w:sz w:val="24"/>
                <w:szCs w:val="24"/>
              </w:rPr>
            </w:pPr>
            <w:r>
              <w:rPr>
                <w:rFonts w:hint="eastAsia"/>
                <w:sz w:val="24"/>
                <w:szCs w:val="24"/>
              </w:rPr>
              <w:t>——中华人民共和国电子商务法</w:t>
            </w:r>
          </w:p>
          <w:p w14:paraId="226AD53B">
            <w:pPr>
              <w:spacing w:line="300" w:lineRule="auto"/>
              <w:ind w:firstLine="480" w:firstLineChars="200"/>
              <w:rPr>
                <w:sz w:val="24"/>
                <w:szCs w:val="24"/>
              </w:rPr>
            </w:pPr>
            <w:r>
              <w:rPr>
                <w:rFonts w:hint="eastAsia"/>
                <w:sz w:val="24"/>
                <w:szCs w:val="24"/>
              </w:rPr>
              <w:t>——中华人民共和国数据安全法</w:t>
            </w:r>
          </w:p>
          <w:p w14:paraId="5D3B6383">
            <w:pPr>
              <w:spacing w:line="300" w:lineRule="auto"/>
              <w:ind w:firstLine="480" w:firstLineChars="200"/>
              <w:rPr>
                <w:sz w:val="24"/>
                <w:szCs w:val="24"/>
              </w:rPr>
            </w:pPr>
            <w:r>
              <w:rPr>
                <w:rFonts w:hint="eastAsia"/>
                <w:sz w:val="24"/>
                <w:szCs w:val="24"/>
              </w:rPr>
              <w:t>——中华人民共和国网络安全法</w:t>
            </w:r>
          </w:p>
          <w:p w14:paraId="66E5DC1F">
            <w:pPr>
              <w:spacing w:line="300" w:lineRule="auto"/>
              <w:ind w:firstLine="480" w:firstLineChars="200"/>
              <w:rPr>
                <w:sz w:val="24"/>
                <w:szCs w:val="24"/>
              </w:rPr>
            </w:pPr>
            <w:r>
              <w:rPr>
                <w:rFonts w:hint="eastAsia"/>
                <w:sz w:val="24"/>
                <w:szCs w:val="24"/>
              </w:rPr>
              <w:t>——网络交易监督管理办法</w:t>
            </w:r>
          </w:p>
        </w:tc>
      </w:tr>
      <w:tr w14:paraId="66A0B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4" w:hRule="atLeast"/>
        </w:trPr>
        <w:tc>
          <w:tcPr>
            <w:tcW w:w="9390" w:type="dxa"/>
            <w:gridSpan w:val="12"/>
            <w:tcBorders>
              <w:left w:val="single" w:color="auto" w:sz="4" w:space="0"/>
              <w:right w:val="single" w:color="auto" w:sz="4" w:space="0"/>
            </w:tcBorders>
            <w:vAlign w:val="center"/>
          </w:tcPr>
          <w:p w14:paraId="1E4B3F3D">
            <w:pPr>
              <w:rPr>
                <w:sz w:val="24"/>
                <w:szCs w:val="24"/>
              </w:rPr>
            </w:pPr>
            <w:r>
              <w:rPr>
                <w:rFonts w:hint="eastAsia"/>
                <w:sz w:val="24"/>
                <w:szCs w:val="24"/>
              </w:rPr>
              <w:t>3  编制过程</w:t>
            </w:r>
          </w:p>
        </w:tc>
      </w:tr>
      <w:tr w14:paraId="4891BC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816" w:hRule="atLeast"/>
        </w:trPr>
        <w:tc>
          <w:tcPr>
            <w:tcW w:w="2023" w:type="dxa"/>
            <w:tcBorders>
              <w:left w:val="single" w:color="auto" w:sz="4" w:space="0"/>
              <w:right w:val="single" w:color="auto" w:sz="4" w:space="0"/>
            </w:tcBorders>
            <w:vAlign w:val="center"/>
          </w:tcPr>
          <w:p w14:paraId="0848C0AE">
            <w:pPr>
              <w:rPr>
                <w:sz w:val="24"/>
                <w:szCs w:val="24"/>
              </w:rPr>
            </w:pPr>
            <w:r>
              <w:rPr>
                <w:sz w:val="24"/>
                <w:szCs w:val="24"/>
              </w:rPr>
              <w:t>3.</w:t>
            </w:r>
            <w:r>
              <w:rPr>
                <w:rFonts w:hint="eastAsia"/>
                <w:sz w:val="24"/>
                <w:szCs w:val="24"/>
              </w:rPr>
              <w:t>1</w:t>
            </w:r>
            <w:r>
              <w:rPr>
                <w:sz w:val="24"/>
                <w:szCs w:val="24"/>
              </w:rPr>
              <w:t xml:space="preserve"> 分工情况</w:t>
            </w:r>
          </w:p>
        </w:tc>
        <w:tc>
          <w:tcPr>
            <w:tcW w:w="7367" w:type="dxa"/>
            <w:gridSpan w:val="11"/>
            <w:tcBorders>
              <w:left w:val="single" w:color="auto" w:sz="4" w:space="0"/>
              <w:right w:val="single" w:color="auto" w:sz="4" w:space="0"/>
            </w:tcBorders>
            <w:vAlign w:val="center"/>
          </w:tcPr>
          <w:p w14:paraId="3D09CEC6">
            <w:pPr>
              <w:rPr>
                <w:sz w:val="24"/>
                <w:szCs w:val="24"/>
              </w:rPr>
            </w:pPr>
          </w:p>
          <w:p w14:paraId="54D6781C">
            <w:pPr>
              <w:spacing w:line="300" w:lineRule="auto"/>
              <w:ind w:firstLine="480" w:firstLineChars="200"/>
              <w:rPr>
                <w:sz w:val="24"/>
                <w:szCs w:val="24"/>
              </w:rPr>
            </w:pPr>
            <w:r>
              <w:rPr>
                <w:rFonts w:hint="eastAsia"/>
                <w:sz w:val="24"/>
                <w:szCs w:val="24"/>
              </w:rPr>
              <w:t>本标准由国家市场监督管理总局网络交易监督管理司牵头制定，中国网络安全审查认证和市场监管大数据中心、国家市场监督管理总局竞争政策与评估中心、中国标准化研究院、山东省市场监督管理局、河南省市场监督管理局、中国计量大学等单位共同参与完成。总局网络交易监督管理司作为网络交易监管</w:t>
            </w:r>
            <w:r>
              <w:rPr>
                <w:rFonts w:hint="eastAsia"/>
                <w:sz w:val="24"/>
                <w:szCs w:val="24"/>
                <w:lang w:val="en-US" w:eastAsia="zh-CN"/>
              </w:rPr>
              <w:t>机构</w:t>
            </w:r>
            <w:r>
              <w:rPr>
                <w:rFonts w:hint="eastAsia"/>
                <w:sz w:val="24"/>
                <w:szCs w:val="24"/>
              </w:rPr>
              <w:t>，负责标准的总体方向、技术框架和主要技术内容，组织联络相关业务单位和技术专家；中国网络安全审查认证和市场监管大数据中心是该标准起草的主要技术支撑单位，负责标准技术条款的执笔编写，其他参与单位在编写过程中提供咨询、共同研讨，提供修改意见或改进建议。</w:t>
            </w:r>
          </w:p>
          <w:p w14:paraId="15C36A24">
            <w:pPr>
              <w:rPr>
                <w:sz w:val="24"/>
                <w:szCs w:val="24"/>
              </w:rPr>
            </w:pPr>
          </w:p>
        </w:tc>
      </w:tr>
      <w:tr w14:paraId="403969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3945" w:hRule="atLeast"/>
        </w:trPr>
        <w:tc>
          <w:tcPr>
            <w:tcW w:w="2023" w:type="dxa"/>
            <w:tcBorders>
              <w:left w:val="single" w:color="auto" w:sz="4" w:space="0"/>
              <w:right w:val="single" w:color="auto" w:sz="4" w:space="0"/>
            </w:tcBorders>
            <w:vAlign w:val="center"/>
          </w:tcPr>
          <w:p w14:paraId="6FB8F22C">
            <w:pPr>
              <w:rPr>
                <w:sz w:val="24"/>
                <w:szCs w:val="24"/>
              </w:rPr>
            </w:pPr>
            <w:r>
              <w:rPr>
                <w:sz w:val="24"/>
                <w:szCs w:val="24"/>
              </w:rPr>
              <w:t>3.</w:t>
            </w:r>
            <w:r>
              <w:rPr>
                <w:rFonts w:hint="eastAsia"/>
                <w:sz w:val="24"/>
                <w:szCs w:val="24"/>
              </w:rPr>
              <w:t>2</w:t>
            </w:r>
            <w:r>
              <w:rPr>
                <w:sz w:val="24"/>
                <w:szCs w:val="24"/>
              </w:rPr>
              <w:t xml:space="preserve"> </w:t>
            </w:r>
            <w:r>
              <w:rPr>
                <w:rFonts w:hint="eastAsia"/>
                <w:sz w:val="24"/>
                <w:szCs w:val="24"/>
              </w:rPr>
              <w:t>起草阶段</w:t>
            </w:r>
          </w:p>
        </w:tc>
        <w:tc>
          <w:tcPr>
            <w:tcW w:w="7367" w:type="dxa"/>
            <w:gridSpan w:val="11"/>
            <w:tcBorders>
              <w:left w:val="single" w:color="auto" w:sz="4" w:space="0"/>
              <w:right w:val="single" w:color="auto" w:sz="4" w:space="0"/>
            </w:tcBorders>
            <w:vAlign w:val="center"/>
          </w:tcPr>
          <w:p w14:paraId="46BA64E7">
            <w:pPr>
              <w:spacing w:line="300" w:lineRule="auto"/>
              <w:ind w:firstLine="480" w:firstLineChars="200"/>
              <w:rPr>
                <w:rFonts w:ascii="宋体" w:hAnsi="宋体"/>
                <w:color w:val="000000"/>
                <w:sz w:val="24"/>
                <w:szCs w:val="24"/>
              </w:rPr>
            </w:pPr>
            <w:r>
              <w:rPr>
                <w:rFonts w:hint="eastAsia"/>
                <w:sz w:val="24"/>
                <w:szCs w:val="24"/>
              </w:rPr>
              <w:t>2024年2月，《网络交易平台内经营者数据归集规范》在国家市场监督管理总局行业标准立项，计划号为</w:t>
            </w:r>
            <w:r>
              <w:rPr>
                <w:rFonts w:hint="eastAsia" w:ascii="宋体" w:hAnsi="宋体"/>
                <w:color w:val="000000"/>
                <w:sz w:val="24"/>
                <w:szCs w:val="24"/>
              </w:rPr>
              <w:t>2023MR0033。</w:t>
            </w:r>
          </w:p>
          <w:p w14:paraId="16E5AB0C">
            <w:pPr>
              <w:spacing w:line="300" w:lineRule="auto"/>
              <w:ind w:firstLine="480" w:firstLineChars="200"/>
            </w:pPr>
            <w:r>
              <w:rPr>
                <w:rFonts w:hint="eastAsia"/>
                <w:sz w:val="24"/>
                <w:szCs w:val="24"/>
              </w:rPr>
              <w:t>2024年3月，成立了由国家市场监督管理总局网络交易监督管理司、中国网络安全审查认证和市场监管大数据中心、国家市场监督管理总局竞争政策与评估中心、中国标准化研究院、山东省市场监督管理局、河南省市场监督管理局、中国计量大学等单位组成的标准起草组，并召开了启动会，制定了工作方案。</w:t>
            </w:r>
          </w:p>
          <w:p w14:paraId="4D4175EC">
            <w:pPr>
              <w:spacing w:line="300" w:lineRule="auto"/>
              <w:ind w:firstLine="480" w:firstLineChars="200"/>
              <w:rPr>
                <w:sz w:val="24"/>
                <w:szCs w:val="24"/>
              </w:rPr>
            </w:pPr>
            <w:r>
              <w:rPr>
                <w:rFonts w:hint="eastAsia"/>
                <w:sz w:val="24"/>
                <w:szCs w:val="24"/>
              </w:rPr>
              <w:t>2</w:t>
            </w:r>
            <w:r>
              <w:rPr>
                <w:sz w:val="24"/>
                <w:szCs w:val="24"/>
              </w:rPr>
              <w:t>024</w:t>
            </w:r>
            <w:r>
              <w:rPr>
                <w:rFonts w:hint="eastAsia"/>
                <w:sz w:val="24"/>
                <w:szCs w:val="24"/>
              </w:rPr>
              <w:t>年4月-1</w:t>
            </w:r>
            <w:r>
              <w:rPr>
                <w:rFonts w:hint="eastAsia"/>
                <w:sz w:val="24"/>
                <w:szCs w:val="24"/>
                <w:lang w:val="en-US" w:eastAsia="zh-CN"/>
              </w:rPr>
              <w:t>0</w:t>
            </w:r>
            <w:r>
              <w:rPr>
                <w:rFonts w:hint="eastAsia"/>
                <w:sz w:val="24"/>
                <w:szCs w:val="24"/>
              </w:rPr>
              <w:t>月，经过起草小组编制、讨论、组内征求意见等过程，形成了行业标准《网络交易平台内经营者数据归集规范（</w:t>
            </w:r>
            <w:r>
              <w:rPr>
                <w:sz w:val="24"/>
                <w:szCs w:val="24"/>
              </w:rPr>
              <w:t>草案</w:t>
            </w:r>
            <w:r>
              <w:rPr>
                <w:rFonts w:hint="eastAsia"/>
                <w:sz w:val="24"/>
                <w:szCs w:val="24"/>
              </w:rPr>
              <w:t>）》。</w:t>
            </w:r>
          </w:p>
          <w:p w14:paraId="5ACC4C9F">
            <w:pPr>
              <w:spacing w:line="300" w:lineRule="auto"/>
              <w:ind w:firstLine="420" w:firstLineChars="200"/>
              <w:rPr>
                <w:sz w:val="24"/>
                <w:szCs w:val="24"/>
              </w:rPr>
            </w:pPr>
            <w:r>
              <w:rPr>
                <w:rFonts w:hint="eastAsia"/>
              </w:rPr>
              <w:t xml:space="preserve"> </w:t>
            </w:r>
            <w:r>
              <w:rPr>
                <w:rFonts w:hint="eastAsia"/>
                <w:sz w:val="24"/>
                <w:szCs w:val="24"/>
              </w:rPr>
              <w:t>2</w:t>
            </w:r>
            <w:r>
              <w:rPr>
                <w:sz w:val="24"/>
                <w:szCs w:val="24"/>
              </w:rPr>
              <w:t>024</w:t>
            </w:r>
            <w:r>
              <w:rPr>
                <w:rFonts w:hint="eastAsia"/>
                <w:sz w:val="24"/>
                <w:szCs w:val="24"/>
              </w:rPr>
              <w:t>年</w:t>
            </w:r>
            <w:r>
              <w:rPr>
                <w:sz w:val="24"/>
                <w:szCs w:val="24"/>
              </w:rPr>
              <w:t>1</w:t>
            </w:r>
            <w:r>
              <w:rPr>
                <w:rFonts w:hint="eastAsia"/>
                <w:sz w:val="24"/>
                <w:szCs w:val="24"/>
                <w:lang w:val="en-US" w:eastAsia="zh-CN"/>
              </w:rPr>
              <w:t>0</w:t>
            </w:r>
            <w:r>
              <w:rPr>
                <w:rFonts w:hint="eastAsia"/>
                <w:sz w:val="24"/>
                <w:szCs w:val="24"/>
              </w:rPr>
              <w:t>月-2</w:t>
            </w:r>
            <w:r>
              <w:rPr>
                <w:sz w:val="24"/>
                <w:szCs w:val="24"/>
              </w:rPr>
              <w:t>025年</w:t>
            </w:r>
            <w:r>
              <w:rPr>
                <w:rFonts w:hint="eastAsia"/>
                <w:sz w:val="24"/>
                <w:szCs w:val="24"/>
              </w:rPr>
              <w:t>1月，经过向总局相关部门、部分地方市场监管部门</w:t>
            </w:r>
            <w:r>
              <w:rPr>
                <w:rFonts w:hint="eastAsia"/>
                <w:sz w:val="24"/>
                <w:szCs w:val="24"/>
                <w:lang w:eastAsia="zh-CN"/>
              </w:rPr>
              <w:t>、高校</w:t>
            </w:r>
            <w:r>
              <w:rPr>
                <w:rFonts w:hint="eastAsia"/>
                <w:sz w:val="24"/>
                <w:szCs w:val="24"/>
              </w:rPr>
              <w:t>征求意见及修改，形成《网络交易平台内经营者数据归集规范（征求意见稿）》及编制说明材料。</w:t>
            </w:r>
          </w:p>
          <w:p w14:paraId="1E87ED64">
            <w:pPr>
              <w:pStyle w:val="2"/>
              <w:rPr>
                <w:rFonts w:hint="eastAsia"/>
                <w:sz w:val="24"/>
                <w:szCs w:val="24"/>
              </w:rPr>
            </w:pPr>
          </w:p>
        </w:tc>
      </w:tr>
      <w:tr w14:paraId="11B94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062" w:hRule="atLeast"/>
        </w:trPr>
        <w:tc>
          <w:tcPr>
            <w:tcW w:w="2023" w:type="dxa"/>
            <w:tcBorders>
              <w:left w:val="single" w:color="auto" w:sz="4" w:space="0"/>
              <w:right w:val="single" w:color="auto" w:sz="4" w:space="0"/>
            </w:tcBorders>
            <w:vAlign w:val="center"/>
          </w:tcPr>
          <w:p w14:paraId="7A58D7B5">
            <w:pPr>
              <w:rPr>
                <w:sz w:val="24"/>
                <w:szCs w:val="24"/>
              </w:rPr>
            </w:pPr>
            <w:r>
              <w:rPr>
                <w:sz w:val="24"/>
                <w:szCs w:val="24"/>
              </w:rPr>
              <w:t>3.</w:t>
            </w:r>
            <w:r>
              <w:rPr>
                <w:rFonts w:hint="eastAsia"/>
                <w:sz w:val="24"/>
                <w:szCs w:val="24"/>
              </w:rPr>
              <w:t>3</w:t>
            </w:r>
            <w:r>
              <w:rPr>
                <w:sz w:val="24"/>
                <w:szCs w:val="24"/>
              </w:rPr>
              <w:t xml:space="preserve"> </w:t>
            </w:r>
            <w:r>
              <w:rPr>
                <w:rFonts w:hint="eastAsia"/>
                <w:sz w:val="24"/>
                <w:szCs w:val="24"/>
              </w:rPr>
              <w:t>征求意见阶段</w:t>
            </w:r>
          </w:p>
        </w:tc>
        <w:tc>
          <w:tcPr>
            <w:tcW w:w="7367" w:type="dxa"/>
            <w:gridSpan w:val="11"/>
            <w:tcBorders>
              <w:left w:val="single" w:color="auto" w:sz="4" w:space="0"/>
              <w:right w:val="single" w:color="auto" w:sz="4" w:space="0"/>
            </w:tcBorders>
            <w:vAlign w:val="center"/>
          </w:tcPr>
          <w:p w14:paraId="32C18F60">
            <w:pPr>
              <w:ind w:firstLine="480" w:firstLineChars="200"/>
              <w:rPr>
                <w:rFonts w:hint="eastAsia"/>
                <w:sz w:val="24"/>
                <w:szCs w:val="24"/>
              </w:rPr>
            </w:pPr>
            <w:r>
              <w:rPr>
                <w:rFonts w:hint="eastAsia"/>
                <w:sz w:val="24"/>
                <w:szCs w:val="24"/>
              </w:rPr>
              <w:t>2024年10月，形成标准草稿后内部征求总局</w:t>
            </w:r>
            <w:r>
              <w:rPr>
                <w:rFonts w:hint="eastAsia"/>
                <w:sz w:val="24"/>
                <w:szCs w:val="24"/>
                <w:lang w:eastAsia="zh-CN"/>
              </w:rPr>
              <w:t>网监司</w:t>
            </w:r>
            <w:r>
              <w:rPr>
                <w:rFonts w:hint="eastAsia"/>
                <w:sz w:val="24"/>
                <w:szCs w:val="24"/>
              </w:rPr>
              <w:t>、</w:t>
            </w:r>
            <w:r>
              <w:rPr>
                <w:rFonts w:hint="eastAsia"/>
                <w:sz w:val="24"/>
                <w:szCs w:val="24"/>
                <w:lang w:eastAsia="zh-CN"/>
              </w:rPr>
              <w:t>网数中心、竞数中心、中国标准化研究院以及河南省、山东省、四川省巴中市、浙江省温州市等</w:t>
            </w:r>
            <w:r>
              <w:rPr>
                <w:rFonts w:hint="eastAsia"/>
                <w:sz w:val="24"/>
                <w:szCs w:val="24"/>
              </w:rPr>
              <w:t>市场监管部门</w:t>
            </w:r>
            <w:r>
              <w:rPr>
                <w:rFonts w:hint="eastAsia"/>
                <w:sz w:val="24"/>
                <w:szCs w:val="24"/>
                <w:lang w:eastAsia="zh-CN"/>
              </w:rPr>
              <w:t>、高校</w:t>
            </w:r>
            <w:r>
              <w:rPr>
                <w:rFonts w:hint="eastAsia"/>
                <w:sz w:val="24"/>
                <w:szCs w:val="24"/>
              </w:rPr>
              <w:t>意见，共反馈3</w:t>
            </w:r>
            <w:r>
              <w:rPr>
                <w:rFonts w:hint="eastAsia"/>
                <w:sz w:val="24"/>
                <w:szCs w:val="24"/>
                <w:lang w:val="en-US" w:eastAsia="zh-CN"/>
              </w:rPr>
              <w:t>3</w:t>
            </w:r>
            <w:r>
              <w:rPr>
                <w:rFonts w:hint="eastAsia"/>
                <w:sz w:val="24"/>
                <w:szCs w:val="24"/>
              </w:rPr>
              <w:t>条，经研究，采纳2</w:t>
            </w:r>
            <w:r>
              <w:rPr>
                <w:rFonts w:hint="eastAsia"/>
                <w:sz w:val="24"/>
                <w:szCs w:val="24"/>
                <w:lang w:val="en-US" w:eastAsia="zh-CN"/>
              </w:rPr>
              <w:t>9</w:t>
            </w:r>
            <w:r>
              <w:rPr>
                <w:rFonts w:hint="eastAsia"/>
                <w:sz w:val="24"/>
                <w:szCs w:val="24"/>
              </w:rPr>
              <w:t>条，不采纳4条，意见吸收比例达87.</w:t>
            </w:r>
            <w:r>
              <w:rPr>
                <w:rFonts w:hint="eastAsia"/>
                <w:sz w:val="24"/>
                <w:szCs w:val="24"/>
                <w:lang w:val="en-US" w:eastAsia="zh-CN"/>
              </w:rPr>
              <w:t>8</w:t>
            </w:r>
            <w:r>
              <w:rPr>
                <w:rFonts w:hint="eastAsia"/>
                <w:sz w:val="24"/>
                <w:szCs w:val="24"/>
              </w:rPr>
              <w:t>%。下一步还要在总局行业标准管理系统中征求意见，并进行进一步修改完善。</w:t>
            </w:r>
          </w:p>
          <w:p w14:paraId="780AE4FF">
            <w:pPr>
              <w:ind w:firstLine="480" w:firstLineChars="200"/>
              <w:rPr>
                <w:rFonts w:hint="default" w:eastAsia="宋体"/>
                <w:sz w:val="24"/>
                <w:szCs w:val="24"/>
                <w:lang w:val="en-US" w:eastAsia="zh-CN"/>
              </w:rPr>
            </w:pPr>
            <w:r>
              <w:rPr>
                <w:rFonts w:hint="eastAsia"/>
                <w:color w:val="auto"/>
                <w:sz w:val="24"/>
                <w:szCs w:val="24"/>
                <w:highlight w:val="none"/>
              </w:rPr>
              <w:t>其中网监司反馈意见3条，均已采纳；网数中心反馈意见7条，均已采纳；中标院反馈意见13条，均已采纳；河南省市场监管局反馈意见10条，已采纳6条；温州市市场监管局反馈意见1条，已采纳1条；其余单位无意见。</w:t>
            </w:r>
          </w:p>
        </w:tc>
      </w:tr>
      <w:tr w14:paraId="50D31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2023" w:type="dxa"/>
            <w:tcBorders>
              <w:left w:val="single" w:color="auto" w:sz="4" w:space="0"/>
              <w:right w:val="single" w:color="auto" w:sz="4" w:space="0"/>
            </w:tcBorders>
            <w:vAlign w:val="center"/>
          </w:tcPr>
          <w:p w14:paraId="08781E3D">
            <w:pPr>
              <w:rPr>
                <w:sz w:val="24"/>
                <w:szCs w:val="24"/>
              </w:rPr>
            </w:pPr>
            <w:r>
              <w:rPr>
                <w:sz w:val="24"/>
                <w:szCs w:val="24"/>
              </w:rPr>
              <w:t>3.</w:t>
            </w:r>
            <w:r>
              <w:rPr>
                <w:rFonts w:hint="eastAsia"/>
                <w:sz w:val="24"/>
                <w:szCs w:val="24"/>
              </w:rPr>
              <w:t>4标准审定阶段</w:t>
            </w:r>
          </w:p>
        </w:tc>
        <w:tc>
          <w:tcPr>
            <w:tcW w:w="7367" w:type="dxa"/>
            <w:gridSpan w:val="11"/>
            <w:tcBorders>
              <w:left w:val="single" w:color="auto" w:sz="4" w:space="0"/>
              <w:right w:val="single" w:color="auto" w:sz="4" w:space="0"/>
            </w:tcBorders>
            <w:vAlign w:val="center"/>
          </w:tcPr>
          <w:p w14:paraId="7B76A348">
            <w:pPr>
              <w:rPr>
                <w:sz w:val="24"/>
                <w:szCs w:val="24"/>
              </w:rPr>
            </w:pPr>
          </w:p>
        </w:tc>
      </w:tr>
      <w:tr w14:paraId="58BB94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4" w:hRule="atLeast"/>
        </w:trPr>
        <w:tc>
          <w:tcPr>
            <w:tcW w:w="9390" w:type="dxa"/>
            <w:gridSpan w:val="12"/>
            <w:tcBorders>
              <w:left w:val="single" w:color="auto" w:sz="4" w:space="0"/>
              <w:right w:val="single" w:color="auto" w:sz="4" w:space="0"/>
            </w:tcBorders>
            <w:vAlign w:val="center"/>
          </w:tcPr>
          <w:p w14:paraId="69ABA2CC">
            <w:pPr>
              <w:rPr>
                <w:sz w:val="24"/>
                <w:szCs w:val="24"/>
              </w:rPr>
            </w:pPr>
            <w:r>
              <w:rPr>
                <w:rFonts w:hint="eastAsia"/>
                <w:sz w:val="24"/>
                <w:szCs w:val="24"/>
              </w:rPr>
              <w:t>4  主要技术内容的确定</w:t>
            </w:r>
          </w:p>
        </w:tc>
      </w:tr>
      <w:tr w14:paraId="414FAD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792" w:hRule="atLeast"/>
        </w:trPr>
        <w:tc>
          <w:tcPr>
            <w:tcW w:w="9390" w:type="dxa"/>
            <w:gridSpan w:val="12"/>
            <w:tcBorders>
              <w:left w:val="single" w:color="auto" w:sz="4" w:space="0"/>
              <w:right w:val="single" w:color="auto" w:sz="4" w:space="0"/>
            </w:tcBorders>
            <w:vAlign w:val="center"/>
          </w:tcPr>
          <w:p w14:paraId="5633706A">
            <w:pPr>
              <w:spacing w:line="300" w:lineRule="auto"/>
              <w:ind w:firstLine="480" w:firstLineChars="200"/>
              <w:rPr>
                <w:sz w:val="24"/>
                <w:szCs w:val="24"/>
              </w:rPr>
            </w:pPr>
            <w:r>
              <w:rPr>
                <w:rFonts w:hint="eastAsia"/>
                <w:sz w:val="24"/>
                <w:szCs w:val="24"/>
              </w:rPr>
              <w:t>该行业标准的预期管理目标或技术指标主要包括网络交易平台内经营者数据归集事项、数据目录内容、数据归集方法、信息安全和隐私保护以及适用范围等方面，旨在确保网络交易平台内经营者信息的规范性、准确性和及时性，同时保障个人和企业的信息安全和隐私权益。</w:t>
            </w:r>
          </w:p>
          <w:p w14:paraId="41E5834D">
            <w:pPr>
              <w:spacing w:line="300" w:lineRule="auto"/>
              <w:ind w:firstLine="480" w:firstLineChars="200"/>
              <w:rPr>
                <w:sz w:val="24"/>
                <w:szCs w:val="24"/>
              </w:rPr>
            </w:pPr>
            <w:r>
              <w:rPr>
                <w:rFonts w:hint="eastAsia"/>
                <w:sz w:val="24"/>
                <w:szCs w:val="24"/>
              </w:rPr>
              <w:t>1、规定数据归集事项:明确本文件规定了省级市场监督管理部门按照《中华人民共和国电子商务法》《网络交易监督管理办法》等法律法规规章要求，开展网络交易平台内经营者身份信息报送工作时，向总局归集平台内经营者相关信息的模型和指标体系，包含指标项的名称、字段名、数据类型及格式、指标项所使用代码的标识符和指标项所遵循数据元的标识符等。</w:t>
            </w:r>
          </w:p>
          <w:p w14:paraId="423E709A">
            <w:pPr>
              <w:spacing w:line="300" w:lineRule="auto"/>
              <w:ind w:firstLine="480" w:firstLineChars="200"/>
              <w:rPr>
                <w:sz w:val="24"/>
                <w:szCs w:val="24"/>
              </w:rPr>
            </w:pPr>
            <w:r>
              <w:rPr>
                <w:rFonts w:hint="eastAsia"/>
                <w:sz w:val="24"/>
                <w:szCs w:val="24"/>
              </w:rPr>
              <w:t>2、数据目录内容:规定每个指标项的描述方法，包括标识符、中文名称、字段名、数据类型及格式、值域和说明等属性，以确保数据的统一性和规范性。</w:t>
            </w:r>
          </w:p>
          <w:p w14:paraId="0C907630">
            <w:pPr>
              <w:spacing w:line="300" w:lineRule="auto"/>
              <w:ind w:firstLine="480" w:firstLineChars="200"/>
              <w:rPr>
                <w:sz w:val="24"/>
                <w:szCs w:val="24"/>
              </w:rPr>
            </w:pPr>
            <w:r>
              <w:rPr>
                <w:rFonts w:hint="eastAsia"/>
                <w:sz w:val="24"/>
                <w:szCs w:val="24"/>
                <w:lang w:val="en-US" w:eastAsia="zh-CN"/>
              </w:rPr>
              <w:t>3</w:t>
            </w:r>
            <w:r>
              <w:rPr>
                <w:rFonts w:hint="eastAsia"/>
                <w:sz w:val="24"/>
                <w:szCs w:val="24"/>
              </w:rPr>
              <w:t>、信息安全和隐私保护:强调信息安全和隐私保护的重要性，规定数据采集、存储和使用过程中应遵守的法律法规和技术要求，以确保个人和企业的信息安全和隐私权益得到有效保护。</w:t>
            </w:r>
          </w:p>
          <w:p w14:paraId="5B9727A6">
            <w:pPr>
              <w:spacing w:line="300" w:lineRule="auto"/>
              <w:ind w:firstLine="480" w:firstLineChars="200"/>
              <w:rPr>
                <w:rFonts w:ascii="宋体" w:hAnsi="宋体"/>
                <w:color w:val="000000"/>
                <w:sz w:val="24"/>
                <w:szCs w:val="24"/>
              </w:rPr>
            </w:pPr>
            <w:r>
              <w:rPr>
                <w:rFonts w:hint="eastAsia"/>
                <w:sz w:val="24"/>
                <w:szCs w:val="24"/>
                <w:lang w:val="en-US" w:eastAsia="zh-CN"/>
              </w:rPr>
              <w:t>4</w:t>
            </w:r>
            <w:r>
              <w:rPr>
                <w:rFonts w:hint="eastAsia"/>
                <w:sz w:val="24"/>
                <w:szCs w:val="24"/>
              </w:rPr>
              <w:t>、适用范围:适用于开展网络交易平台内</w:t>
            </w:r>
            <w:bookmarkStart w:id="4" w:name="_GoBack"/>
            <w:bookmarkEnd w:id="4"/>
            <w:r>
              <w:rPr>
                <w:rFonts w:hint="eastAsia"/>
                <w:sz w:val="24"/>
                <w:szCs w:val="24"/>
              </w:rPr>
              <w:t>经营者数据归集的有关市场监管部门，以及参与信息维护的各技术部门和组织，以确保标准的普遍适用性和可操作性。</w:t>
            </w:r>
          </w:p>
        </w:tc>
      </w:tr>
      <w:tr w14:paraId="30B1C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4" w:hRule="atLeast"/>
        </w:trPr>
        <w:tc>
          <w:tcPr>
            <w:tcW w:w="9390" w:type="dxa"/>
            <w:gridSpan w:val="12"/>
            <w:tcBorders>
              <w:left w:val="single" w:color="auto" w:sz="4" w:space="0"/>
              <w:right w:val="single" w:color="auto" w:sz="4" w:space="0"/>
            </w:tcBorders>
            <w:vAlign w:val="center"/>
          </w:tcPr>
          <w:p w14:paraId="7F2009DC">
            <w:pPr>
              <w:rPr>
                <w:sz w:val="24"/>
                <w:szCs w:val="24"/>
              </w:rPr>
            </w:pPr>
            <w:r>
              <w:rPr>
                <w:rFonts w:hint="eastAsia"/>
                <w:sz w:val="24"/>
                <w:szCs w:val="24"/>
              </w:rPr>
              <w:t>5  验证情况（适用时填写）</w:t>
            </w:r>
          </w:p>
        </w:tc>
      </w:tr>
      <w:tr w14:paraId="1CCA15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06" w:hRule="atLeast"/>
        </w:trPr>
        <w:tc>
          <w:tcPr>
            <w:tcW w:w="2023" w:type="dxa"/>
            <w:vMerge w:val="restart"/>
            <w:tcBorders>
              <w:left w:val="single" w:color="auto" w:sz="4" w:space="0"/>
              <w:right w:val="single" w:color="auto" w:sz="4" w:space="0"/>
            </w:tcBorders>
            <w:vAlign w:val="center"/>
          </w:tcPr>
          <w:p w14:paraId="2E707862">
            <w:pPr>
              <w:rPr>
                <w:b/>
                <w:sz w:val="24"/>
                <w:szCs w:val="24"/>
              </w:rPr>
            </w:pPr>
            <w:r>
              <w:rPr>
                <w:sz w:val="24"/>
                <w:szCs w:val="24"/>
              </w:rPr>
              <w:t>5.1 验证单位情况</w:t>
            </w:r>
          </w:p>
        </w:tc>
        <w:tc>
          <w:tcPr>
            <w:tcW w:w="1721" w:type="dxa"/>
            <w:gridSpan w:val="3"/>
            <w:tcBorders>
              <w:left w:val="single" w:color="auto" w:sz="4" w:space="0"/>
              <w:right w:val="single" w:color="auto" w:sz="4" w:space="0"/>
            </w:tcBorders>
            <w:vAlign w:val="center"/>
          </w:tcPr>
          <w:p w14:paraId="5F1DC77A">
            <w:pPr>
              <w:rPr>
                <w:sz w:val="24"/>
                <w:szCs w:val="24"/>
              </w:rPr>
            </w:pPr>
            <w:r>
              <w:rPr>
                <w:sz w:val="24"/>
                <w:szCs w:val="24"/>
              </w:rPr>
              <w:t>验证单位</w:t>
            </w:r>
          </w:p>
        </w:tc>
        <w:tc>
          <w:tcPr>
            <w:tcW w:w="2597" w:type="dxa"/>
            <w:gridSpan w:val="5"/>
            <w:tcBorders>
              <w:left w:val="single" w:color="auto" w:sz="4" w:space="0"/>
              <w:right w:val="single" w:color="auto" w:sz="4" w:space="0"/>
            </w:tcBorders>
            <w:vAlign w:val="center"/>
          </w:tcPr>
          <w:p w14:paraId="73A73B7C">
            <w:pPr>
              <w:rPr>
                <w:sz w:val="24"/>
                <w:szCs w:val="24"/>
              </w:rPr>
            </w:pPr>
            <w:r>
              <w:rPr>
                <w:sz w:val="24"/>
                <w:szCs w:val="24"/>
              </w:rPr>
              <w:t>验证人员</w:t>
            </w:r>
          </w:p>
        </w:tc>
        <w:tc>
          <w:tcPr>
            <w:tcW w:w="3049" w:type="dxa"/>
            <w:gridSpan w:val="3"/>
            <w:tcBorders>
              <w:left w:val="single" w:color="auto" w:sz="4" w:space="0"/>
              <w:right w:val="single" w:color="auto" w:sz="4" w:space="0"/>
            </w:tcBorders>
            <w:vAlign w:val="center"/>
          </w:tcPr>
          <w:p w14:paraId="349E2CAB">
            <w:pPr>
              <w:rPr>
                <w:sz w:val="24"/>
                <w:szCs w:val="24"/>
              </w:rPr>
            </w:pPr>
            <w:r>
              <w:rPr>
                <w:sz w:val="24"/>
                <w:szCs w:val="24"/>
              </w:rPr>
              <w:t>验证时间</w:t>
            </w:r>
          </w:p>
        </w:tc>
      </w:tr>
      <w:tr w14:paraId="7C276E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2" w:hRule="atLeast"/>
        </w:trPr>
        <w:tc>
          <w:tcPr>
            <w:tcW w:w="2023" w:type="dxa"/>
            <w:vMerge w:val="continue"/>
            <w:tcBorders>
              <w:left w:val="single" w:color="auto" w:sz="4" w:space="0"/>
              <w:right w:val="single" w:color="auto" w:sz="4" w:space="0"/>
            </w:tcBorders>
            <w:vAlign w:val="center"/>
          </w:tcPr>
          <w:p w14:paraId="2A221287">
            <w:pPr>
              <w:rPr>
                <w:sz w:val="24"/>
                <w:szCs w:val="24"/>
              </w:rPr>
            </w:pPr>
          </w:p>
        </w:tc>
        <w:tc>
          <w:tcPr>
            <w:tcW w:w="1721" w:type="dxa"/>
            <w:gridSpan w:val="3"/>
            <w:tcBorders>
              <w:left w:val="single" w:color="auto" w:sz="4" w:space="0"/>
              <w:right w:val="single" w:color="auto" w:sz="4" w:space="0"/>
            </w:tcBorders>
            <w:vAlign w:val="center"/>
          </w:tcPr>
          <w:p w14:paraId="28542D6C">
            <w:pPr>
              <w:rPr>
                <w:sz w:val="24"/>
                <w:szCs w:val="24"/>
              </w:rPr>
            </w:pPr>
          </w:p>
        </w:tc>
        <w:tc>
          <w:tcPr>
            <w:tcW w:w="2597" w:type="dxa"/>
            <w:gridSpan w:val="5"/>
            <w:tcBorders>
              <w:left w:val="single" w:color="auto" w:sz="4" w:space="0"/>
              <w:right w:val="single" w:color="auto" w:sz="4" w:space="0"/>
            </w:tcBorders>
            <w:vAlign w:val="center"/>
          </w:tcPr>
          <w:p w14:paraId="67A03628">
            <w:pPr>
              <w:rPr>
                <w:sz w:val="24"/>
                <w:szCs w:val="24"/>
              </w:rPr>
            </w:pPr>
          </w:p>
        </w:tc>
        <w:tc>
          <w:tcPr>
            <w:tcW w:w="3049" w:type="dxa"/>
            <w:gridSpan w:val="3"/>
            <w:tcBorders>
              <w:left w:val="single" w:color="auto" w:sz="4" w:space="0"/>
              <w:right w:val="single" w:color="auto" w:sz="4" w:space="0"/>
            </w:tcBorders>
            <w:vAlign w:val="center"/>
          </w:tcPr>
          <w:p w14:paraId="0D15C6D5">
            <w:pPr>
              <w:rPr>
                <w:sz w:val="24"/>
                <w:szCs w:val="24"/>
              </w:rPr>
            </w:pPr>
            <w:r>
              <w:rPr>
                <w:sz w:val="24"/>
                <w:szCs w:val="24"/>
              </w:rPr>
              <w:t xml:space="preserve"> 年    月    日</w:t>
            </w:r>
          </w:p>
        </w:tc>
      </w:tr>
      <w:tr w14:paraId="3674E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2" w:hRule="atLeast"/>
        </w:trPr>
        <w:tc>
          <w:tcPr>
            <w:tcW w:w="2023" w:type="dxa"/>
            <w:vMerge w:val="continue"/>
            <w:tcBorders>
              <w:left w:val="single" w:color="auto" w:sz="4" w:space="0"/>
              <w:right w:val="single" w:color="auto" w:sz="4" w:space="0"/>
            </w:tcBorders>
            <w:vAlign w:val="center"/>
          </w:tcPr>
          <w:p w14:paraId="19ABEA08">
            <w:pPr>
              <w:rPr>
                <w:sz w:val="24"/>
                <w:szCs w:val="24"/>
              </w:rPr>
            </w:pPr>
          </w:p>
        </w:tc>
        <w:tc>
          <w:tcPr>
            <w:tcW w:w="1721" w:type="dxa"/>
            <w:gridSpan w:val="3"/>
            <w:tcBorders>
              <w:left w:val="single" w:color="auto" w:sz="4" w:space="0"/>
              <w:right w:val="single" w:color="auto" w:sz="4" w:space="0"/>
            </w:tcBorders>
            <w:vAlign w:val="center"/>
          </w:tcPr>
          <w:p w14:paraId="43EB8A16">
            <w:pPr>
              <w:rPr>
                <w:sz w:val="24"/>
                <w:szCs w:val="24"/>
              </w:rPr>
            </w:pPr>
          </w:p>
        </w:tc>
        <w:tc>
          <w:tcPr>
            <w:tcW w:w="2597" w:type="dxa"/>
            <w:gridSpan w:val="5"/>
            <w:tcBorders>
              <w:left w:val="single" w:color="auto" w:sz="4" w:space="0"/>
              <w:right w:val="single" w:color="auto" w:sz="4" w:space="0"/>
            </w:tcBorders>
            <w:vAlign w:val="center"/>
          </w:tcPr>
          <w:p w14:paraId="6270111F">
            <w:pPr>
              <w:rPr>
                <w:sz w:val="24"/>
                <w:szCs w:val="24"/>
              </w:rPr>
            </w:pPr>
          </w:p>
        </w:tc>
        <w:tc>
          <w:tcPr>
            <w:tcW w:w="3049" w:type="dxa"/>
            <w:gridSpan w:val="3"/>
            <w:tcBorders>
              <w:left w:val="single" w:color="auto" w:sz="4" w:space="0"/>
              <w:right w:val="single" w:color="auto" w:sz="4" w:space="0"/>
            </w:tcBorders>
            <w:vAlign w:val="center"/>
          </w:tcPr>
          <w:p w14:paraId="11E396EE">
            <w:pPr>
              <w:ind w:firstLine="240" w:firstLineChars="100"/>
              <w:rPr>
                <w:sz w:val="24"/>
                <w:szCs w:val="24"/>
              </w:rPr>
            </w:pPr>
            <w:r>
              <w:rPr>
                <w:sz w:val="24"/>
                <w:szCs w:val="24"/>
              </w:rPr>
              <w:t>年    月    日</w:t>
            </w:r>
          </w:p>
        </w:tc>
      </w:tr>
      <w:tr w14:paraId="085F32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04" w:hRule="atLeast"/>
        </w:trPr>
        <w:tc>
          <w:tcPr>
            <w:tcW w:w="2023" w:type="dxa"/>
            <w:vMerge w:val="continue"/>
            <w:tcBorders>
              <w:left w:val="single" w:color="auto" w:sz="4" w:space="0"/>
              <w:right w:val="single" w:color="auto" w:sz="4" w:space="0"/>
            </w:tcBorders>
            <w:vAlign w:val="center"/>
          </w:tcPr>
          <w:p w14:paraId="4FC92DEE">
            <w:pPr>
              <w:rPr>
                <w:sz w:val="24"/>
                <w:szCs w:val="24"/>
              </w:rPr>
            </w:pPr>
          </w:p>
        </w:tc>
        <w:tc>
          <w:tcPr>
            <w:tcW w:w="1721" w:type="dxa"/>
            <w:gridSpan w:val="3"/>
            <w:tcBorders>
              <w:left w:val="single" w:color="auto" w:sz="4" w:space="0"/>
              <w:right w:val="single" w:color="auto" w:sz="4" w:space="0"/>
            </w:tcBorders>
            <w:vAlign w:val="center"/>
          </w:tcPr>
          <w:p w14:paraId="6496E477">
            <w:pPr>
              <w:rPr>
                <w:sz w:val="24"/>
                <w:szCs w:val="24"/>
              </w:rPr>
            </w:pPr>
          </w:p>
        </w:tc>
        <w:tc>
          <w:tcPr>
            <w:tcW w:w="2597" w:type="dxa"/>
            <w:gridSpan w:val="5"/>
            <w:tcBorders>
              <w:left w:val="single" w:color="auto" w:sz="4" w:space="0"/>
              <w:right w:val="single" w:color="auto" w:sz="4" w:space="0"/>
            </w:tcBorders>
            <w:vAlign w:val="center"/>
          </w:tcPr>
          <w:p w14:paraId="421D9302">
            <w:pPr>
              <w:rPr>
                <w:sz w:val="24"/>
                <w:szCs w:val="24"/>
              </w:rPr>
            </w:pPr>
          </w:p>
        </w:tc>
        <w:tc>
          <w:tcPr>
            <w:tcW w:w="3049" w:type="dxa"/>
            <w:gridSpan w:val="3"/>
            <w:tcBorders>
              <w:left w:val="single" w:color="auto" w:sz="4" w:space="0"/>
              <w:right w:val="single" w:color="auto" w:sz="4" w:space="0"/>
            </w:tcBorders>
            <w:vAlign w:val="center"/>
          </w:tcPr>
          <w:p w14:paraId="4BD45670">
            <w:pPr>
              <w:rPr>
                <w:sz w:val="24"/>
                <w:szCs w:val="24"/>
              </w:rPr>
            </w:pPr>
            <w:r>
              <w:rPr>
                <w:sz w:val="24"/>
                <w:szCs w:val="24"/>
              </w:rPr>
              <w:t xml:space="preserve"> 年    月    日</w:t>
            </w:r>
          </w:p>
        </w:tc>
      </w:tr>
      <w:tr w14:paraId="1150D6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0" w:hRule="atLeast"/>
        </w:trPr>
        <w:tc>
          <w:tcPr>
            <w:tcW w:w="2023" w:type="dxa"/>
            <w:vMerge w:val="continue"/>
            <w:tcBorders>
              <w:left w:val="single" w:color="auto" w:sz="4" w:space="0"/>
              <w:right w:val="single" w:color="auto" w:sz="4" w:space="0"/>
            </w:tcBorders>
            <w:vAlign w:val="center"/>
          </w:tcPr>
          <w:p w14:paraId="08917265">
            <w:pPr>
              <w:rPr>
                <w:sz w:val="24"/>
                <w:szCs w:val="24"/>
              </w:rPr>
            </w:pPr>
          </w:p>
        </w:tc>
        <w:tc>
          <w:tcPr>
            <w:tcW w:w="1721" w:type="dxa"/>
            <w:gridSpan w:val="3"/>
            <w:tcBorders>
              <w:left w:val="single" w:color="auto" w:sz="4" w:space="0"/>
              <w:right w:val="single" w:color="auto" w:sz="4" w:space="0"/>
            </w:tcBorders>
            <w:vAlign w:val="center"/>
          </w:tcPr>
          <w:p w14:paraId="016154DB">
            <w:pPr>
              <w:rPr>
                <w:sz w:val="24"/>
                <w:szCs w:val="24"/>
              </w:rPr>
            </w:pPr>
          </w:p>
        </w:tc>
        <w:tc>
          <w:tcPr>
            <w:tcW w:w="2597" w:type="dxa"/>
            <w:gridSpan w:val="5"/>
            <w:tcBorders>
              <w:left w:val="single" w:color="auto" w:sz="4" w:space="0"/>
              <w:right w:val="single" w:color="auto" w:sz="4" w:space="0"/>
            </w:tcBorders>
            <w:vAlign w:val="center"/>
          </w:tcPr>
          <w:p w14:paraId="7D2C1394">
            <w:pPr>
              <w:rPr>
                <w:sz w:val="24"/>
                <w:szCs w:val="24"/>
              </w:rPr>
            </w:pPr>
          </w:p>
        </w:tc>
        <w:tc>
          <w:tcPr>
            <w:tcW w:w="3049" w:type="dxa"/>
            <w:gridSpan w:val="3"/>
            <w:tcBorders>
              <w:left w:val="single" w:color="auto" w:sz="4" w:space="0"/>
              <w:right w:val="single" w:color="auto" w:sz="4" w:space="0"/>
            </w:tcBorders>
            <w:vAlign w:val="center"/>
          </w:tcPr>
          <w:p w14:paraId="641010F9">
            <w:pPr>
              <w:rPr>
                <w:sz w:val="24"/>
                <w:szCs w:val="24"/>
              </w:rPr>
            </w:pPr>
            <w:r>
              <w:rPr>
                <w:sz w:val="24"/>
                <w:szCs w:val="24"/>
              </w:rPr>
              <w:t xml:space="preserve"> 年    月    日</w:t>
            </w:r>
          </w:p>
        </w:tc>
      </w:tr>
      <w:tr w14:paraId="6379A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4" w:hRule="atLeast"/>
        </w:trPr>
        <w:tc>
          <w:tcPr>
            <w:tcW w:w="2023" w:type="dxa"/>
            <w:tcBorders>
              <w:left w:val="single" w:color="auto" w:sz="4" w:space="0"/>
              <w:right w:val="single" w:color="auto" w:sz="4" w:space="0"/>
            </w:tcBorders>
            <w:vAlign w:val="center"/>
          </w:tcPr>
          <w:p w14:paraId="2F31FCF1">
            <w:pPr>
              <w:rPr>
                <w:b/>
                <w:sz w:val="24"/>
                <w:szCs w:val="24"/>
              </w:rPr>
            </w:pPr>
            <w:r>
              <w:rPr>
                <w:sz w:val="24"/>
                <w:szCs w:val="24"/>
              </w:rPr>
              <w:t>5.2 验证过程</w:t>
            </w:r>
          </w:p>
        </w:tc>
        <w:tc>
          <w:tcPr>
            <w:tcW w:w="7367" w:type="dxa"/>
            <w:gridSpan w:val="11"/>
            <w:tcBorders>
              <w:left w:val="single" w:color="auto" w:sz="4" w:space="0"/>
              <w:right w:val="single" w:color="auto" w:sz="4" w:space="0"/>
            </w:tcBorders>
            <w:vAlign w:val="center"/>
          </w:tcPr>
          <w:p w14:paraId="3E3010C8">
            <w:pPr>
              <w:rPr>
                <w:sz w:val="24"/>
                <w:szCs w:val="24"/>
              </w:rPr>
            </w:pPr>
          </w:p>
        </w:tc>
      </w:tr>
      <w:tr w14:paraId="795DE6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0" w:hRule="atLeast"/>
        </w:trPr>
        <w:tc>
          <w:tcPr>
            <w:tcW w:w="2023" w:type="dxa"/>
            <w:tcBorders>
              <w:left w:val="single" w:color="auto" w:sz="4" w:space="0"/>
              <w:right w:val="single" w:color="auto" w:sz="4" w:space="0"/>
            </w:tcBorders>
            <w:vAlign w:val="center"/>
          </w:tcPr>
          <w:p w14:paraId="41177E5A">
            <w:pPr>
              <w:rPr>
                <w:b/>
                <w:sz w:val="24"/>
                <w:szCs w:val="24"/>
              </w:rPr>
            </w:pPr>
            <w:r>
              <w:rPr>
                <w:sz w:val="24"/>
                <w:szCs w:val="24"/>
              </w:rPr>
              <w:t>5.3 验证数据分析</w:t>
            </w:r>
          </w:p>
        </w:tc>
        <w:tc>
          <w:tcPr>
            <w:tcW w:w="7367" w:type="dxa"/>
            <w:gridSpan w:val="11"/>
            <w:tcBorders>
              <w:left w:val="single" w:color="auto" w:sz="4" w:space="0"/>
              <w:right w:val="single" w:color="auto" w:sz="4" w:space="0"/>
            </w:tcBorders>
            <w:vAlign w:val="center"/>
          </w:tcPr>
          <w:p w14:paraId="219D20DB">
            <w:pPr>
              <w:rPr>
                <w:sz w:val="24"/>
                <w:szCs w:val="24"/>
              </w:rPr>
            </w:pPr>
          </w:p>
        </w:tc>
      </w:tr>
      <w:tr w14:paraId="4FF53F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19" w:hRule="atLeast"/>
        </w:trPr>
        <w:tc>
          <w:tcPr>
            <w:tcW w:w="2023" w:type="dxa"/>
            <w:tcBorders>
              <w:left w:val="single" w:color="auto" w:sz="4" w:space="0"/>
              <w:right w:val="single" w:color="auto" w:sz="4" w:space="0"/>
            </w:tcBorders>
            <w:vAlign w:val="center"/>
          </w:tcPr>
          <w:p w14:paraId="5F54FFC9">
            <w:pPr>
              <w:rPr>
                <w:b/>
                <w:sz w:val="24"/>
                <w:szCs w:val="24"/>
              </w:rPr>
            </w:pPr>
            <w:r>
              <w:rPr>
                <w:sz w:val="24"/>
                <w:szCs w:val="24"/>
              </w:rPr>
              <w:t>5.4 验证评价</w:t>
            </w:r>
          </w:p>
        </w:tc>
        <w:tc>
          <w:tcPr>
            <w:tcW w:w="7367" w:type="dxa"/>
            <w:gridSpan w:val="11"/>
            <w:tcBorders>
              <w:left w:val="single" w:color="auto" w:sz="4" w:space="0"/>
              <w:right w:val="single" w:color="auto" w:sz="4" w:space="0"/>
            </w:tcBorders>
            <w:vAlign w:val="center"/>
          </w:tcPr>
          <w:p w14:paraId="5178DA7F">
            <w:pPr>
              <w:rPr>
                <w:sz w:val="24"/>
                <w:szCs w:val="24"/>
              </w:rPr>
            </w:pPr>
          </w:p>
        </w:tc>
      </w:tr>
      <w:tr w14:paraId="10775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99" w:hRule="atLeast"/>
        </w:trPr>
        <w:tc>
          <w:tcPr>
            <w:tcW w:w="2023" w:type="dxa"/>
            <w:tcBorders>
              <w:left w:val="single" w:color="auto" w:sz="4" w:space="0"/>
              <w:right w:val="single" w:color="auto" w:sz="4" w:space="0"/>
            </w:tcBorders>
            <w:vAlign w:val="center"/>
          </w:tcPr>
          <w:p w14:paraId="1FA6D0BE">
            <w:pPr>
              <w:rPr>
                <w:b/>
                <w:sz w:val="24"/>
                <w:szCs w:val="24"/>
              </w:rPr>
            </w:pPr>
            <w:r>
              <w:rPr>
                <w:sz w:val="24"/>
                <w:szCs w:val="24"/>
              </w:rPr>
              <w:t>5.5 其他应说明的情况</w:t>
            </w:r>
          </w:p>
        </w:tc>
        <w:tc>
          <w:tcPr>
            <w:tcW w:w="7367" w:type="dxa"/>
            <w:gridSpan w:val="11"/>
            <w:tcBorders>
              <w:left w:val="single" w:color="auto" w:sz="4" w:space="0"/>
              <w:right w:val="single" w:color="auto" w:sz="4" w:space="0"/>
            </w:tcBorders>
            <w:vAlign w:val="center"/>
          </w:tcPr>
          <w:p w14:paraId="4CF5C484">
            <w:pPr>
              <w:rPr>
                <w:sz w:val="24"/>
                <w:szCs w:val="24"/>
              </w:rPr>
            </w:pPr>
          </w:p>
        </w:tc>
      </w:tr>
      <w:tr w14:paraId="1EDC5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14" w:hRule="atLeast"/>
        </w:trPr>
        <w:tc>
          <w:tcPr>
            <w:tcW w:w="9390" w:type="dxa"/>
            <w:gridSpan w:val="12"/>
            <w:tcBorders>
              <w:left w:val="single" w:color="auto" w:sz="4" w:space="0"/>
              <w:right w:val="single" w:color="auto" w:sz="4" w:space="0"/>
            </w:tcBorders>
            <w:vAlign w:val="center"/>
          </w:tcPr>
          <w:p w14:paraId="347E32A3">
            <w:pPr>
              <w:rPr>
                <w:sz w:val="24"/>
                <w:szCs w:val="24"/>
              </w:rPr>
            </w:pPr>
            <w:r>
              <w:rPr>
                <w:rFonts w:hint="eastAsia"/>
                <w:sz w:val="24"/>
                <w:szCs w:val="24"/>
              </w:rPr>
              <w:t>6  附加说明（可选）</w:t>
            </w:r>
          </w:p>
        </w:tc>
      </w:tr>
      <w:tr w14:paraId="45D02D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30" w:hRule="atLeast"/>
        </w:trPr>
        <w:tc>
          <w:tcPr>
            <w:tcW w:w="2023" w:type="dxa"/>
            <w:tcBorders>
              <w:left w:val="single" w:color="auto" w:sz="4" w:space="0"/>
              <w:right w:val="single" w:color="auto" w:sz="4" w:space="0"/>
            </w:tcBorders>
            <w:vAlign w:val="center"/>
          </w:tcPr>
          <w:p w14:paraId="04047B4E">
            <w:pPr>
              <w:rPr>
                <w:sz w:val="24"/>
                <w:szCs w:val="24"/>
              </w:rPr>
            </w:pPr>
            <w:r>
              <w:rPr>
                <w:sz w:val="24"/>
                <w:szCs w:val="24"/>
              </w:rPr>
              <w:t>6.1 宣贯标准的建议</w:t>
            </w:r>
          </w:p>
        </w:tc>
        <w:tc>
          <w:tcPr>
            <w:tcW w:w="7367" w:type="dxa"/>
            <w:gridSpan w:val="11"/>
            <w:tcBorders>
              <w:left w:val="single" w:color="auto" w:sz="4" w:space="0"/>
              <w:right w:val="single" w:color="auto" w:sz="4" w:space="0"/>
            </w:tcBorders>
            <w:vAlign w:val="center"/>
          </w:tcPr>
          <w:p w14:paraId="0C5F5456">
            <w:pPr>
              <w:spacing w:line="300" w:lineRule="auto"/>
              <w:ind w:firstLine="480" w:firstLineChars="200"/>
              <w:rPr>
                <w:sz w:val="24"/>
                <w:szCs w:val="24"/>
              </w:rPr>
            </w:pPr>
            <w:r>
              <w:rPr>
                <w:rFonts w:hint="eastAsia"/>
                <w:sz w:val="24"/>
                <w:szCs w:val="24"/>
              </w:rPr>
              <w:t>标准发布后，由国家市场监督管理总局网络交易监督管理司牵头面向全国各级市场监管部门开展标准宣贯。</w:t>
            </w:r>
          </w:p>
        </w:tc>
      </w:tr>
      <w:tr w14:paraId="37D51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983" w:hRule="atLeast"/>
        </w:trPr>
        <w:tc>
          <w:tcPr>
            <w:tcW w:w="2023" w:type="dxa"/>
            <w:tcBorders>
              <w:left w:val="single" w:color="auto" w:sz="4" w:space="0"/>
              <w:right w:val="single" w:color="auto" w:sz="4" w:space="0"/>
            </w:tcBorders>
            <w:vAlign w:val="center"/>
          </w:tcPr>
          <w:p w14:paraId="11E613CF">
            <w:pPr>
              <w:rPr>
                <w:sz w:val="24"/>
                <w:szCs w:val="24"/>
              </w:rPr>
            </w:pPr>
            <w:r>
              <w:rPr>
                <w:sz w:val="24"/>
                <w:szCs w:val="24"/>
              </w:rPr>
              <w:t>6.2 修订和废除现行有关标准的建议</w:t>
            </w:r>
          </w:p>
        </w:tc>
        <w:tc>
          <w:tcPr>
            <w:tcW w:w="7367" w:type="dxa"/>
            <w:gridSpan w:val="11"/>
            <w:tcBorders>
              <w:left w:val="single" w:color="auto" w:sz="4" w:space="0"/>
              <w:right w:val="single" w:color="auto" w:sz="4" w:space="0"/>
            </w:tcBorders>
            <w:vAlign w:val="center"/>
          </w:tcPr>
          <w:p w14:paraId="0E7C6DF3">
            <w:pPr>
              <w:rPr>
                <w:sz w:val="24"/>
                <w:szCs w:val="24"/>
              </w:rPr>
            </w:pPr>
            <w:r>
              <w:rPr>
                <w:rFonts w:hint="eastAsia"/>
                <w:sz w:val="24"/>
                <w:szCs w:val="24"/>
              </w:rPr>
              <w:t>无</w:t>
            </w:r>
          </w:p>
        </w:tc>
      </w:tr>
      <w:tr w14:paraId="1030D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68" w:hRule="atLeast"/>
        </w:trPr>
        <w:tc>
          <w:tcPr>
            <w:tcW w:w="2023" w:type="dxa"/>
            <w:tcBorders>
              <w:left w:val="single" w:color="auto" w:sz="4" w:space="0"/>
              <w:right w:val="single" w:color="auto" w:sz="4" w:space="0"/>
            </w:tcBorders>
            <w:vAlign w:val="center"/>
          </w:tcPr>
          <w:p w14:paraId="37B819B5">
            <w:pPr>
              <w:rPr>
                <w:sz w:val="24"/>
                <w:szCs w:val="24"/>
              </w:rPr>
            </w:pPr>
            <w:r>
              <w:rPr>
                <w:sz w:val="24"/>
                <w:szCs w:val="24"/>
              </w:rPr>
              <w:t xml:space="preserve">6.3 作为强制性标 </w:t>
            </w:r>
          </w:p>
          <w:p w14:paraId="35E4D2D1">
            <w:pPr>
              <w:rPr>
                <w:sz w:val="24"/>
                <w:szCs w:val="24"/>
              </w:rPr>
            </w:pPr>
            <w:r>
              <w:rPr>
                <w:rFonts w:hint="eastAsia"/>
                <w:sz w:val="24"/>
                <w:szCs w:val="24"/>
              </w:rPr>
              <w:t xml:space="preserve">准或推荐性标准的 </w:t>
            </w:r>
          </w:p>
          <w:p w14:paraId="7CD0D15C">
            <w:pPr>
              <w:rPr>
                <w:sz w:val="24"/>
                <w:szCs w:val="24"/>
              </w:rPr>
            </w:pPr>
            <w:r>
              <w:rPr>
                <w:rFonts w:hint="eastAsia"/>
                <w:sz w:val="24"/>
                <w:szCs w:val="24"/>
              </w:rPr>
              <w:t>建议</w:t>
            </w:r>
          </w:p>
        </w:tc>
        <w:tc>
          <w:tcPr>
            <w:tcW w:w="7367" w:type="dxa"/>
            <w:gridSpan w:val="11"/>
            <w:tcBorders>
              <w:left w:val="single" w:color="auto" w:sz="4" w:space="0"/>
              <w:right w:val="single" w:color="auto" w:sz="4" w:space="0"/>
            </w:tcBorders>
            <w:vAlign w:val="center"/>
          </w:tcPr>
          <w:p w14:paraId="50AF8E20">
            <w:pPr>
              <w:rPr>
                <w:sz w:val="24"/>
                <w:szCs w:val="24"/>
              </w:rPr>
            </w:pPr>
            <w:r>
              <w:rPr>
                <w:rFonts w:hint="eastAsia"/>
                <w:sz w:val="24"/>
                <w:szCs w:val="24"/>
              </w:rPr>
              <w:t>推荐性标准</w:t>
            </w:r>
          </w:p>
        </w:tc>
      </w:tr>
      <w:tr w14:paraId="6DD4B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858" w:hRule="atLeast"/>
        </w:trPr>
        <w:tc>
          <w:tcPr>
            <w:tcW w:w="2023" w:type="dxa"/>
            <w:tcBorders>
              <w:left w:val="single" w:color="auto" w:sz="4" w:space="0"/>
              <w:right w:val="single" w:color="auto" w:sz="4" w:space="0"/>
            </w:tcBorders>
            <w:vAlign w:val="center"/>
          </w:tcPr>
          <w:p w14:paraId="0419FB6F">
            <w:pPr>
              <w:rPr>
                <w:sz w:val="24"/>
                <w:szCs w:val="24"/>
              </w:rPr>
            </w:pPr>
            <w:r>
              <w:rPr>
                <w:sz w:val="24"/>
                <w:szCs w:val="24"/>
              </w:rPr>
              <w:t>6.4 其他需要说明的情况</w:t>
            </w:r>
          </w:p>
        </w:tc>
        <w:tc>
          <w:tcPr>
            <w:tcW w:w="7367" w:type="dxa"/>
            <w:gridSpan w:val="11"/>
            <w:tcBorders>
              <w:left w:val="single" w:color="auto" w:sz="4" w:space="0"/>
              <w:right w:val="single" w:color="auto" w:sz="4" w:space="0"/>
            </w:tcBorders>
            <w:vAlign w:val="center"/>
          </w:tcPr>
          <w:p w14:paraId="05B52987">
            <w:pPr>
              <w:rPr>
                <w:sz w:val="24"/>
                <w:szCs w:val="24"/>
              </w:rPr>
            </w:pPr>
            <w:r>
              <w:rPr>
                <w:rFonts w:hint="eastAsia"/>
                <w:sz w:val="24"/>
                <w:szCs w:val="24"/>
              </w:rPr>
              <w:t>无</w:t>
            </w:r>
          </w:p>
        </w:tc>
      </w:tr>
      <w:tr w14:paraId="644A0E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073" w:hRule="atLeast"/>
        </w:trPr>
        <w:tc>
          <w:tcPr>
            <w:tcW w:w="2023" w:type="dxa"/>
            <w:tcBorders>
              <w:left w:val="single" w:color="auto" w:sz="4" w:space="0"/>
              <w:right w:val="single" w:color="auto" w:sz="4" w:space="0"/>
            </w:tcBorders>
            <w:vAlign w:val="center"/>
          </w:tcPr>
          <w:p w14:paraId="11750D1C">
            <w:pPr>
              <w:rPr>
                <w:sz w:val="24"/>
                <w:szCs w:val="24"/>
              </w:rPr>
            </w:pPr>
            <w:r>
              <w:rPr>
                <w:sz w:val="24"/>
                <w:szCs w:val="24"/>
              </w:rPr>
              <w:t>6.5 参考文献</w:t>
            </w:r>
          </w:p>
        </w:tc>
        <w:tc>
          <w:tcPr>
            <w:tcW w:w="7367" w:type="dxa"/>
            <w:gridSpan w:val="11"/>
            <w:tcBorders>
              <w:left w:val="single" w:color="auto" w:sz="4" w:space="0"/>
              <w:right w:val="single" w:color="auto" w:sz="4" w:space="0"/>
            </w:tcBorders>
            <w:vAlign w:val="center"/>
          </w:tcPr>
          <w:p w14:paraId="182CC18F">
            <w:pPr>
              <w:pStyle w:val="8"/>
              <w:numPr>
                <w:ilvl w:val="0"/>
                <w:numId w:val="1"/>
              </w:numPr>
              <w:ind w:firstLineChars="0"/>
              <w:outlineLvl w:val="0"/>
              <w:rPr>
                <w:rFonts w:hint="default" w:ascii="Times New Roman"/>
                <w:kern w:val="2"/>
                <w:sz w:val="24"/>
                <w:szCs w:val="24"/>
                <w:lang w:eastAsia="zh-CN"/>
              </w:rPr>
            </w:pPr>
            <w:bookmarkStart w:id="0" w:name="_Toc13507"/>
            <w:bookmarkStart w:id="1" w:name="_Toc12236"/>
            <w:r>
              <w:rPr>
                <w:rFonts w:hint="default" w:ascii="Times New Roman"/>
                <w:kern w:val="2"/>
                <w:sz w:val="24"/>
                <w:szCs w:val="24"/>
                <w:lang w:eastAsia="zh-CN"/>
              </w:rPr>
              <w:t>《中华人民共和国电子商务法》</w:t>
            </w:r>
            <w:bookmarkEnd w:id="0"/>
            <w:bookmarkEnd w:id="1"/>
            <w:bookmarkStart w:id="2" w:name="_Toc18892"/>
            <w:bookmarkStart w:id="3" w:name="_Toc32079"/>
          </w:p>
          <w:p w14:paraId="7109793A">
            <w:pPr>
              <w:pStyle w:val="8"/>
              <w:numPr>
                <w:ilvl w:val="0"/>
                <w:numId w:val="1"/>
              </w:numPr>
              <w:ind w:firstLineChars="0"/>
              <w:outlineLvl w:val="0"/>
              <w:rPr>
                <w:rFonts w:hint="default" w:ascii="Times New Roman"/>
                <w:kern w:val="2"/>
                <w:sz w:val="24"/>
                <w:szCs w:val="24"/>
                <w:lang w:eastAsia="zh-CN"/>
              </w:rPr>
            </w:pPr>
            <w:r>
              <w:rPr>
                <w:rFonts w:hint="default" w:ascii="Times New Roman"/>
                <w:kern w:val="2"/>
                <w:sz w:val="24"/>
                <w:szCs w:val="24"/>
                <w:lang w:eastAsia="zh-CN"/>
              </w:rPr>
              <w:t>《</w:t>
            </w:r>
            <w:r>
              <w:rPr>
                <w:rFonts w:hint="default" w:ascii="Times New Roman"/>
                <w:kern w:val="2"/>
                <w:sz w:val="24"/>
                <w:szCs w:val="24"/>
                <w:lang w:val="en-US" w:eastAsia="zh-CN"/>
              </w:rPr>
              <w:t>网络交易监督管理办法</w:t>
            </w:r>
            <w:r>
              <w:rPr>
                <w:rFonts w:hint="default" w:ascii="Times New Roman"/>
                <w:kern w:val="2"/>
                <w:sz w:val="24"/>
                <w:szCs w:val="24"/>
                <w:lang w:eastAsia="zh-CN"/>
              </w:rPr>
              <w:t>》</w:t>
            </w:r>
          </w:p>
          <w:bookmarkEnd w:id="2"/>
          <w:bookmarkEnd w:id="3"/>
          <w:p w14:paraId="636F053A">
            <w:pPr>
              <w:pStyle w:val="8"/>
              <w:numPr>
                <w:ilvl w:val="0"/>
                <w:numId w:val="1"/>
              </w:numPr>
              <w:ind w:firstLineChars="0"/>
              <w:rPr>
                <w:rFonts w:ascii="Times New Roman"/>
                <w:kern w:val="2"/>
                <w:sz w:val="24"/>
                <w:szCs w:val="24"/>
              </w:rPr>
            </w:pPr>
            <w:r>
              <w:rPr>
                <w:rFonts w:hint="default" w:ascii="Times New Roman"/>
                <w:kern w:val="2"/>
                <w:sz w:val="24"/>
                <w:szCs w:val="24"/>
              </w:rPr>
              <w:t>《中华人民共和国数据安全法》</w:t>
            </w:r>
          </w:p>
          <w:p w14:paraId="31456C3A">
            <w:pPr>
              <w:pStyle w:val="8"/>
              <w:numPr>
                <w:ilvl w:val="0"/>
                <w:numId w:val="1"/>
              </w:numPr>
              <w:ind w:firstLineChars="0"/>
              <w:rPr>
                <w:rFonts w:hint="default" w:ascii="Times New Roman"/>
                <w:kern w:val="2"/>
                <w:sz w:val="24"/>
                <w:szCs w:val="24"/>
                <w:lang w:eastAsia="zh-CN"/>
              </w:rPr>
            </w:pPr>
            <w:r>
              <w:rPr>
                <w:rFonts w:hint="default" w:ascii="Times New Roman"/>
                <w:kern w:val="2"/>
                <w:sz w:val="24"/>
                <w:szCs w:val="24"/>
              </w:rPr>
              <w:t>《中华人民共和国网络安全法》</w:t>
            </w:r>
          </w:p>
          <w:p w14:paraId="04E055AF">
            <w:pPr>
              <w:pStyle w:val="2"/>
              <w:rPr>
                <w:sz w:val="24"/>
                <w:szCs w:val="24"/>
              </w:rPr>
            </w:pPr>
          </w:p>
        </w:tc>
      </w:tr>
      <w:tr w14:paraId="489FB0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01" w:hRule="atLeast"/>
        </w:trPr>
        <w:tc>
          <w:tcPr>
            <w:tcW w:w="2023" w:type="dxa"/>
            <w:tcBorders>
              <w:left w:val="single" w:color="auto" w:sz="4" w:space="0"/>
              <w:right w:val="single" w:color="auto" w:sz="4" w:space="0"/>
            </w:tcBorders>
            <w:vAlign w:val="center"/>
          </w:tcPr>
          <w:p w14:paraId="11301FF2">
            <w:pPr>
              <w:rPr>
                <w:sz w:val="24"/>
                <w:szCs w:val="24"/>
              </w:rPr>
            </w:pPr>
            <w:r>
              <w:rPr>
                <w:sz w:val="24"/>
                <w:szCs w:val="24"/>
              </w:rPr>
              <w:t>联系人</w:t>
            </w:r>
          </w:p>
        </w:tc>
        <w:tc>
          <w:tcPr>
            <w:tcW w:w="1096" w:type="dxa"/>
            <w:tcBorders>
              <w:left w:val="single" w:color="auto" w:sz="4" w:space="0"/>
              <w:right w:val="single" w:color="auto" w:sz="4" w:space="0"/>
            </w:tcBorders>
            <w:vAlign w:val="center"/>
          </w:tcPr>
          <w:p w14:paraId="18C2B791">
            <w:pPr>
              <w:rPr>
                <w:sz w:val="24"/>
                <w:szCs w:val="24"/>
              </w:rPr>
            </w:pPr>
          </w:p>
        </w:tc>
        <w:tc>
          <w:tcPr>
            <w:tcW w:w="1389" w:type="dxa"/>
            <w:gridSpan w:val="3"/>
            <w:tcBorders>
              <w:left w:val="single" w:color="auto" w:sz="4" w:space="0"/>
              <w:right w:val="single" w:color="auto" w:sz="4" w:space="0"/>
            </w:tcBorders>
            <w:vAlign w:val="center"/>
          </w:tcPr>
          <w:p w14:paraId="1F5F0531">
            <w:pPr>
              <w:rPr>
                <w:sz w:val="24"/>
                <w:szCs w:val="24"/>
              </w:rPr>
            </w:pPr>
          </w:p>
        </w:tc>
        <w:tc>
          <w:tcPr>
            <w:tcW w:w="1646" w:type="dxa"/>
            <w:gridSpan w:val="2"/>
            <w:tcBorders>
              <w:left w:val="single" w:color="auto" w:sz="4" w:space="0"/>
              <w:right w:val="single" w:color="auto" w:sz="4" w:space="0"/>
            </w:tcBorders>
            <w:vAlign w:val="center"/>
          </w:tcPr>
          <w:p w14:paraId="0A17D08D">
            <w:pPr>
              <w:rPr>
                <w:sz w:val="24"/>
                <w:szCs w:val="24"/>
              </w:rPr>
            </w:pPr>
          </w:p>
        </w:tc>
        <w:tc>
          <w:tcPr>
            <w:tcW w:w="1329" w:type="dxa"/>
            <w:gridSpan w:val="4"/>
            <w:tcBorders>
              <w:left w:val="single" w:color="auto" w:sz="4" w:space="0"/>
              <w:right w:val="single" w:color="auto" w:sz="4" w:space="0"/>
            </w:tcBorders>
            <w:vAlign w:val="center"/>
          </w:tcPr>
          <w:p w14:paraId="70394E6D">
            <w:pPr>
              <w:rPr>
                <w:sz w:val="24"/>
                <w:szCs w:val="24"/>
              </w:rPr>
            </w:pPr>
            <w:r>
              <w:rPr>
                <w:sz w:val="24"/>
                <w:szCs w:val="24"/>
              </w:rPr>
              <w:t>电子邮箱</w:t>
            </w:r>
          </w:p>
        </w:tc>
        <w:tc>
          <w:tcPr>
            <w:tcW w:w="1907" w:type="dxa"/>
            <w:tcBorders>
              <w:left w:val="single" w:color="auto" w:sz="4" w:space="0"/>
              <w:right w:val="single" w:color="auto" w:sz="4" w:space="0"/>
            </w:tcBorders>
            <w:vAlign w:val="center"/>
          </w:tcPr>
          <w:p w14:paraId="1F1B224A">
            <w:pPr>
              <w:rPr>
                <w:sz w:val="24"/>
                <w:szCs w:val="24"/>
              </w:rPr>
            </w:pPr>
          </w:p>
        </w:tc>
      </w:tr>
      <w:tr w14:paraId="5E7404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462" w:hRule="atLeast"/>
        </w:trPr>
        <w:tc>
          <w:tcPr>
            <w:tcW w:w="9390" w:type="dxa"/>
            <w:gridSpan w:val="12"/>
            <w:tcBorders>
              <w:left w:val="single" w:color="auto" w:sz="4" w:space="0"/>
              <w:right w:val="single" w:color="auto" w:sz="4" w:space="0"/>
            </w:tcBorders>
            <w:vAlign w:val="center"/>
          </w:tcPr>
          <w:p w14:paraId="794D7C49">
            <w:pPr>
              <w:rPr>
                <w:sz w:val="24"/>
                <w:szCs w:val="24"/>
              </w:rPr>
            </w:pPr>
            <w:r>
              <w:rPr>
                <w:sz w:val="24"/>
                <w:szCs w:val="24"/>
              </w:rPr>
              <w:t>注1：本</w:t>
            </w:r>
            <w:r>
              <w:rPr>
                <w:rFonts w:hint="eastAsia"/>
                <w:sz w:val="24"/>
                <w:szCs w:val="24"/>
              </w:rPr>
              <w:t>格式</w:t>
            </w:r>
            <w:r>
              <w:rPr>
                <w:sz w:val="24"/>
                <w:szCs w:val="24"/>
              </w:rPr>
              <w:t>的</w:t>
            </w:r>
            <w:r>
              <w:rPr>
                <w:rFonts w:hint="eastAsia"/>
                <w:sz w:val="24"/>
                <w:szCs w:val="24"/>
              </w:rPr>
              <w:t>通用</w:t>
            </w:r>
            <w:r>
              <w:rPr>
                <w:sz w:val="24"/>
                <w:szCs w:val="24"/>
              </w:rPr>
              <w:t>部分为第1章、第2章、第4章和第6章。</w:t>
            </w:r>
          </w:p>
          <w:p w14:paraId="5B68ADBB">
            <w:pPr>
              <w:rPr>
                <w:sz w:val="24"/>
                <w:szCs w:val="24"/>
              </w:rPr>
            </w:pPr>
            <w:r>
              <w:rPr>
                <w:sz w:val="24"/>
                <w:szCs w:val="24"/>
              </w:rPr>
              <w:t>注2：3.4适用于标准送审稿，3.5适用于标准报批稿，3.6中</w:t>
            </w:r>
            <w:r>
              <w:rPr>
                <w:rFonts w:hint="eastAsia"/>
                <w:sz w:val="24"/>
                <w:szCs w:val="24"/>
              </w:rPr>
              <w:t>“</w:t>
            </w:r>
            <w:r>
              <w:rPr>
                <w:sz w:val="24"/>
                <w:szCs w:val="24"/>
              </w:rPr>
              <w:t>预期的管理目标</w:t>
            </w:r>
            <w:r>
              <w:rPr>
                <w:rFonts w:hint="eastAsia"/>
                <w:sz w:val="24"/>
                <w:szCs w:val="24"/>
              </w:rPr>
              <w:t>”</w:t>
            </w:r>
            <w:r>
              <w:rPr>
                <w:sz w:val="24"/>
                <w:szCs w:val="24"/>
              </w:rPr>
              <w:t>适用于规程类标准，3.6中</w:t>
            </w:r>
            <w:r>
              <w:rPr>
                <w:rFonts w:hint="eastAsia"/>
                <w:sz w:val="24"/>
                <w:szCs w:val="24"/>
              </w:rPr>
              <w:t>“</w:t>
            </w:r>
            <w:r>
              <w:rPr>
                <w:sz w:val="24"/>
                <w:szCs w:val="24"/>
              </w:rPr>
              <w:t>技术指标</w:t>
            </w:r>
            <w:r>
              <w:rPr>
                <w:rFonts w:hint="eastAsia"/>
                <w:sz w:val="24"/>
                <w:szCs w:val="24"/>
              </w:rPr>
              <w:t>”</w:t>
            </w:r>
            <w:r>
              <w:rPr>
                <w:sz w:val="24"/>
                <w:szCs w:val="24"/>
              </w:rPr>
              <w:t>适用于方法类标准，第5章适用于方法类标准编制说明的编写。</w:t>
            </w:r>
          </w:p>
          <w:p w14:paraId="55457816">
            <w:pPr>
              <w:rPr>
                <w:sz w:val="24"/>
                <w:szCs w:val="24"/>
              </w:rPr>
            </w:pPr>
            <w:r>
              <w:rPr>
                <w:sz w:val="24"/>
                <w:szCs w:val="24"/>
              </w:rPr>
              <w:t>注3：3.1和第6章为可选项，其余为必填项。</w:t>
            </w:r>
          </w:p>
          <w:p w14:paraId="50335D0D">
            <w:pPr>
              <w:rPr>
                <w:sz w:val="24"/>
                <w:szCs w:val="24"/>
              </w:rPr>
            </w:pPr>
            <w:r>
              <w:rPr>
                <w:sz w:val="24"/>
                <w:szCs w:val="24"/>
              </w:rPr>
              <w:t>编写日期： 20 年  月   日</w:t>
            </w:r>
          </w:p>
        </w:tc>
      </w:tr>
    </w:tbl>
    <w:p w14:paraId="1D7DB531"/>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Segoe UI Symbol">
    <w:panose1 w:val="020B0502040204020203"/>
    <w:charset w:val="00"/>
    <w:family w:val="swiss"/>
    <w:pitch w:val="default"/>
    <w:sig w:usb0="8000006F" w:usb1="1200FBEF" w:usb2="0064C000" w:usb3="00000002" w:csb0="00000001" w:csb1="4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8391C">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DD687">
                          <w:pPr>
                            <w:pStyle w:val="4"/>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87DD687">
                    <w:pPr>
                      <w:pStyle w:val="4"/>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DF12F9B"/>
    <w:multiLevelType w:val="multilevel"/>
    <w:tmpl w:val="5DF12F9B"/>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trackRevisions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QwYzIwM2Y5MjExNmNkMjAxYzAyYWRiOTMzN2YzNzUifQ=="/>
  </w:docVars>
  <w:rsids>
    <w:rsidRoot w:val="00CA44A9"/>
    <w:rsid w:val="0000766A"/>
    <w:rsid w:val="00072C9A"/>
    <w:rsid w:val="000A7D5F"/>
    <w:rsid w:val="000F0DEB"/>
    <w:rsid w:val="00122B8F"/>
    <w:rsid w:val="001C36A2"/>
    <w:rsid w:val="003108FF"/>
    <w:rsid w:val="003240E2"/>
    <w:rsid w:val="0037277E"/>
    <w:rsid w:val="00434486"/>
    <w:rsid w:val="00480388"/>
    <w:rsid w:val="004B3223"/>
    <w:rsid w:val="004F08E9"/>
    <w:rsid w:val="005750F2"/>
    <w:rsid w:val="005775A4"/>
    <w:rsid w:val="005D6E95"/>
    <w:rsid w:val="0068715A"/>
    <w:rsid w:val="00706FB8"/>
    <w:rsid w:val="00746271"/>
    <w:rsid w:val="007609EB"/>
    <w:rsid w:val="00773D0B"/>
    <w:rsid w:val="00797FED"/>
    <w:rsid w:val="007A5617"/>
    <w:rsid w:val="007C5EF0"/>
    <w:rsid w:val="007D1C52"/>
    <w:rsid w:val="00854F98"/>
    <w:rsid w:val="008A7B73"/>
    <w:rsid w:val="009811F2"/>
    <w:rsid w:val="009821EC"/>
    <w:rsid w:val="00A1102B"/>
    <w:rsid w:val="00AB23AB"/>
    <w:rsid w:val="00AC5C90"/>
    <w:rsid w:val="00AE6CC6"/>
    <w:rsid w:val="00B27963"/>
    <w:rsid w:val="00B5754F"/>
    <w:rsid w:val="00B64291"/>
    <w:rsid w:val="00C54660"/>
    <w:rsid w:val="00C650C7"/>
    <w:rsid w:val="00C82758"/>
    <w:rsid w:val="00CA44A9"/>
    <w:rsid w:val="00CC3C08"/>
    <w:rsid w:val="00CF04E8"/>
    <w:rsid w:val="00EE639A"/>
    <w:rsid w:val="00F50AAA"/>
    <w:rsid w:val="00F7151C"/>
    <w:rsid w:val="00F760DC"/>
    <w:rsid w:val="00F9216F"/>
    <w:rsid w:val="00FA7737"/>
    <w:rsid w:val="0FE16ACA"/>
    <w:rsid w:val="18FE5B95"/>
    <w:rsid w:val="1BEA7699"/>
    <w:rsid w:val="1EF81C6E"/>
    <w:rsid w:val="1F9923B2"/>
    <w:rsid w:val="1FC136F1"/>
    <w:rsid w:val="1FFF8E1A"/>
    <w:rsid w:val="226F5E0B"/>
    <w:rsid w:val="25FC30D3"/>
    <w:rsid w:val="2D101B55"/>
    <w:rsid w:val="30A877FD"/>
    <w:rsid w:val="37134638"/>
    <w:rsid w:val="414D3A68"/>
    <w:rsid w:val="4CE72729"/>
    <w:rsid w:val="5BF135D6"/>
    <w:rsid w:val="623B58CB"/>
    <w:rsid w:val="636071D0"/>
    <w:rsid w:val="65387C9C"/>
    <w:rsid w:val="69DE04A0"/>
    <w:rsid w:val="6EF17E5D"/>
    <w:rsid w:val="72993C18"/>
    <w:rsid w:val="7534672C"/>
    <w:rsid w:val="78483489"/>
    <w:rsid w:val="7F9B0E07"/>
    <w:rsid w:val="8D37203C"/>
    <w:rsid w:val="CFEF2AA5"/>
    <w:rsid w:val="DDBB3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宋体" w:cs="Times New Roman"/>
      <w:kern w:val="2"/>
      <w:sz w:val="21"/>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99"/>
    <w:rPr>
      <w:rFonts w:ascii="宋体" w:hAnsi="Courier New" w:cs="宋体"/>
      <w:szCs w:val="21"/>
    </w:rPr>
  </w:style>
  <w:style w:type="paragraph" w:styleId="3">
    <w:name w:val="Balloon Text"/>
    <w:basedOn w:val="1"/>
    <w:link w:val="9"/>
    <w:qFormat/>
    <w:uiPriority w:val="0"/>
    <w:rPr>
      <w:sz w:val="18"/>
      <w:szCs w:val="18"/>
    </w:rPr>
  </w:style>
  <w:style w:type="paragraph" w:styleId="4">
    <w:name w:val="footer"/>
    <w:basedOn w:val="1"/>
    <w:qFormat/>
    <w:uiPriority w:val="0"/>
    <w:pPr>
      <w:tabs>
        <w:tab w:val="center" w:pos="4153"/>
        <w:tab w:val="right" w:pos="8306"/>
      </w:tabs>
      <w:snapToGrid w:val="0"/>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customStyle="1" w:styleId="8">
    <w:name w:val="标准文件_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9">
    <w:name w:val="批注框文本 Char"/>
    <w:basedOn w:val="7"/>
    <w:link w:val="3"/>
    <w:qFormat/>
    <w:uiPriority w:val="0"/>
    <w:rPr>
      <w:kern w:val="2"/>
      <w:sz w:val="18"/>
      <w:szCs w:val="18"/>
    </w:rPr>
  </w:style>
  <w:style w:type="paragraph" w:customStyle="1" w:styleId="10">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1">
    <w:name w:val="封面标准名称"/>
    <w:qFormat/>
    <w:uiPriority w:val="0"/>
    <w:pPr>
      <w:framePr w:w="9639" w:h="6917" w:hRule="exact" w:wrap="around" w:vAnchor="page" w:hAnchor="page" w:xAlign="center" w:y="6408"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
    <w:name w:val="标准书脚_奇数页"/>
    <w:qFormat/>
    <w:uiPriority w:val="0"/>
    <w:pPr>
      <w:spacing w:before="120"/>
      <w:ind w:right="198"/>
      <w:jc w:val="right"/>
    </w:pPr>
    <w:rPr>
      <w:rFonts w:ascii="宋体"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2702</Words>
  <Characters>2897</Characters>
  <Lines>23</Lines>
  <Paragraphs>6</Paragraphs>
  <TotalTime>11</TotalTime>
  <ScaleCrop>false</ScaleCrop>
  <LinksUpToDate>false</LinksUpToDate>
  <CharactersWithSpaces>3009</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2024-08-09T00:24:00Z</dcterms:created>
  <dc:creator>Lenovo</dc:creator>
  <cp:lastModifiedBy>Administrator</cp:lastModifiedBy>
  <dcterms:modified xsi:type="dcterms:W3CDTF">2025-01-27T00:59:40Z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49B6096F58B341FD9AAAED2D91203266_12</vt:lpwstr>
  </property>
  <property fmtid="{D5CDD505-2E9C-101B-9397-08002B2CF9AE}" pid="4" name="KSOTemplateDocerSaveRecord">
    <vt:lpwstr>eyJoZGlkIjoiYWFiOTNjZWE0OWY0ODcwOTZlMmNkNWQ4YWZlMzcyNmEifQ==</vt:lpwstr>
  </property>
</Properties>
</file>